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36" w:lineRule="auto" w:after="120"/>
        <w:jc w:val="center"/>
      </w:pPr>
      <w:r>
        <w:rPr>
          <w:rFonts w:ascii="宋体" w:hAnsi="宋体" w:eastAsia="宋体"/>
          <w:b/>
          <w:sz w:val="28"/>
        </w:rPr>
        <w:t>上海首视信息科技有限公司</w:t>
      </w:r>
    </w:p>
    <w:p>
      <w:pPr>
        <w:spacing w:before="1080" w:after="320"/>
        <w:jc w:val="center"/>
      </w:pPr>
      <w:r>
        <w:rPr>
          <w:rFonts w:ascii="SimHei" w:hAnsi="SimHei" w:eastAsia="黑体"/>
          <w:b/>
          <w:sz w:val="48"/>
        </w:rPr>
        <w:t>手术示教系统投标技术方案</w:t>
      </w:r>
    </w:p>
    <w:p>
      <w:pPr>
        <w:spacing w:after="560"/>
        <w:jc w:val="center"/>
      </w:pPr>
      <w:r>
        <w:rPr>
          <w:rFonts w:ascii="SimHei" w:hAnsi="SimHei" w:eastAsia="黑体"/>
          <w:b/>
          <w:sz w:val="32"/>
        </w:rPr>
        <w:t>投标技术方案编制参考版</w:t>
      </w:r>
    </w:p>
    <w:p>
      <w:pPr>
        <w:spacing w:line="336" w:lineRule="auto" w:after="120"/>
        <w:jc w:val="center"/>
      </w:pPr>
      <w:r>
        <w:rPr>
          <w:rFonts w:ascii="宋体" w:hAnsi="宋体" w:eastAsia="宋体"/>
          <w:b w:val="0"/>
          <w:sz w:val="22"/>
        </w:rPr>
        <w:t>适用于手术直播录播、临床教学、规培培训、病例讨论和远程观摩项目</w:t>
      </w:r>
    </w:p>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4394"/>
        <w:gridCol w:w="4394"/>
      </w:tblGrid>
      <w:tr>
        <w:tc>
          <w:tcPr>
            <w:tcW w:type="dxa" w:w="1984"/>
            <w:shd w:fill="EAF2F8"/>
            <w:vAlign w:val="center"/>
          </w:tcPr>
          <w:p>
            <w:pPr>
              <w:spacing w:after="0"/>
              <w:jc w:val="center"/>
            </w:pPr>
            <w:r>
              <w:rPr>
                <w:rFonts w:ascii="宋体" w:hAnsi="宋体" w:eastAsia="黑体"/>
                <w:b/>
                <w:sz w:val="20"/>
              </w:rPr>
              <w:t>项目</w:t>
            </w:r>
          </w:p>
        </w:tc>
        <w:tc>
          <w:tcPr>
            <w:tcW w:type="dxa" w:w="7029"/>
            <w:shd w:fill="EAF2F8"/>
            <w:vAlign w:val="center"/>
          </w:tcPr>
          <w:p>
            <w:pPr>
              <w:spacing w:after="0"/>
              <w:jc w:val="center"/>
            </w:pPr>
            <w:r>
              <w:rPr>
                <w:rFonts w:ascii="宋体" w:hAnsi="宋体" w:eastAsia="黑体"/>
                <w:b/>
                <w:sz w:val="20"/>
              </w:rPr>
              <w:t>内容</w:t>
            </w:r>
          </w:p>
        </w:tc>
      </w:tr>
      <w:tr>
        <w:tc>
          <w:tcPr>
            <w:tcW w:type="dxa" w:w="1984"/>
            <w:vAlign w:val="center"/>
          </w:tcPr>
          <w:p>
            <w:pPr>
              <w:spacing w:after="0" w:line="300" w:lineRule="auto"/>
              <w:jc w:val="center"/>
            </w:pPr>
            <w:r>
              <w:rPr>
                <w:rFonts w:ascii="宋体" w:hAnsi="宋体" w:eastAsia="宋体"/>
                <w:sz w:val="19"/>
              </w:rPr>
              <w:t>项目名称</w:t>
            </w:r>
          </w:p>
        </w:tc>
        <w:tc>
          <w:tcPr>
            <w:tcW w:type="dxa" w:w="7029"/>
            <w:vAlign w:val="center"/>
          </w:tcPr>
          <w:p>
            <w:pPr>
              <w:spacing w:after="0" w:line="300" w:lineRule="auto"/>
            </w:pPr>
            <w:r>
              <w:rPr>
                <w:rFonts w:ascii="宋体" w:hAnsi="宋体" w:eastAsia="宋体"/>
                <w:sz w:val="19"/>
              </w:rPr>
              <w:t>【填写项目名称】</w:t>
            </w:r>
          </w:p>
        </w:tc>
      </w:tr>
      <w:tr>
        <w:tc>
          <w:tcPr>
            <w:tcW w:type="dxa" w:w="1984"/>
            <w:vAlign w:val="center"/>
          </w:tcPr>
          <w:p>
            <w:pPr>
              <w:spacing w:after="0" w:line="300" w:lineRule="auto"/>
              <w:jc w:val="center"/>
            </w:pPr>
            <w:r>
              <w:rPr>
                <w:rFonts w:ascii="宋体" w:hAnsi="宋体" w:eastAsia="宋体"/>
                <w:sz w:val="19"/>
              </w:rPr>
              <w:t>招标编号</w:t>
            </w:r>
          </w:p>
        </w:tc>
        <w:tc>
          <w:tcPr>
            <w:tcW w:type="dxa" w:w="7029"/>
            <w:vAlign w:val="center"/>
          </w:tcPr>
          <w:p>
            <w:pPr>
              <w:spacing w:after="0" w:line="300" w:lineRule="auto"/>
            </w:pPr>
            <w:r>
              <w:rPr>
                <w:rFonts w:ascii="宋体" w:hAnsi="宋体" w:eastAsia="宋体"/>
                <w:sz w:val="19"/>
              </w:rPr>
              <w:t>【填写招标编号】</w:t>
            </w:r>
          </w:p>
        </w:tc>
      </w:tr>
      <w:tr>
        <w:tc>
          <w:tcPr>
            <w:tcW w:type="dxa" w:w="1984"/>
            <w:vAlign w:val="center"/>
          </w:tcPr>
          <w:p>
            <w:pPr>
              <w:spacing w:after="0" w:line="300" w:lineRule="auto"/>
              <w:jc w:val="center"/>
            </w:pPr>
            <w:r>
              <w:rPr>
                <w:rFonts w:ascii="宋体" w:hAnsi="宋体" w:eastAsia="宋体"/>
                <w:sz w:val="19"/>
              </w:rPr>
              <w:t>投标人</w:t>
            </w:r>
          </w:p>
        </w:tc>
        <w:tc>
          <w:tcPr>
            <w:tcW w:type="dxa" w:w="7029"/>
            <w:vAlign w:val="center"/>
          </w:tcPr>
          <w:p>
            <w:pPr>
              <w:spacing w:after="0" w:line="300" w:lineRule="auto"/>
            </w:pPr>
            <w:r>
              <w:rPr>
                <w:rFonts w:ascii="宋体" w:hAnsi="宋体" w:eastAsia="宋体"/>
                <w:sz w:val="19"/>
              </w:rPr>
              <w:t>上海首视信息科技有限公司</w:t>
            </w:r>
          </w:p>
        </w:tc>
      </w:tr>
      <w:tr>
        <w:tc>
          <w:tcPr>
            <w:tcW w:type="dxa" w:w="1984"/>
            <w:vAlign w:val="center"/>
          </w:tcPr>
          <w:p>
            <w:pPr>
              <w:spacing w:after="0" w:line="300" w:lineRule="auto"/>
              <w:jc w:val="center"/>
            </w:pPr>
            <w:r>
              <w:rPr>
                <w:rFonts w:ascii="宋体" w:hAnsi="宋体" w:eastAsia="宋体"/>
                <w:sz w:val="19"/>
              </w:rPr>
              <w:t>资料用途</w:t>
            </w:r>
          </w:p>
        </w:tc>
        <w:tc>
          <w:tcPr>
            <w:tcW w:type="dxa" w:w="7029"/>
            <w:vAlign w:val="center"/>
          </w:tcPr>
          <w:p>
            <w:pPr>
              <w:spacing w:after="0" w:line="300" w:lineRule="auto"/>
            </w:pPr>
            <w:r>
              <w:rPr>
                <w:rFonts w:ascii="宋体" w:hAnsi="宋体" w:eastAsia="宋体"/>
                <w:sz w:val="19"/>
              </w:rPr>
              <w:t>技术标、项目建议书、技术响应文件编写参考</w:t>
            </w:r>
          </w:p>
        </w:tc>
      </w:tr>
      <w:tr>
        <w:tc>
          <w:tcPr>
            <w:tcW w:type="dxa" w:w="1984"/>
            <w:vAlign w:val="center"/>
          </w:tcPr>
          <w:p>
            <w:pPr>
              <w:spacing w:after="0" w:line="300" w:lineRule="auto"/>
              <w:jc w:val="center"/>
            </w:pPr>
            <w:r>
              <w:rPr>
                <w:rFonts w:ascii="宋体" w:hAnsi="宋体" w:eastAsia="宋体"/>
                <w:sz w:val="19"/>
              </w:rPr>
              <w:t>版本日期</w:t>
            </w:r>
          </w:p>
        </w:tc>
        <w:tc>
          <w:tcPr>
            <w:tcW w:type="dxa" w:w="7029"/>
            <w:vAlign w:val="center"/>
          </w:tcPr>
          <w:p>
            <w:pPr>
              <w:spacing w:after="0" w:line="300" w:lineRule="auto"/>
            </w:pPr>
            <w:r>
              <w:rPr>
                <w:rFonts w:ascii="宋体" w:hAnsi="宋体" w:eastAsia="宋体"/>
                <w:sz w:val="19"/>
              </w:rPr>
              <w:t>2026-07-09</w:t>
            </w:r>
          </w:p>
        </w:tc>
      </w:tr>
    </w:tbl>
    <w:p>
      <w:pPr>
        <w:spacing w:after="40"/>
      </w:pPr>
    </w:p>
    <w:p>
      <w:pPr>
        <w:spacing w:line="336" w:lineRule="auto" w:after="120"/>
        <w:jc w:val="center"/>
      </w:pPr>
      <w:r>
        <w:rPr>
          <w:rFonts w:ascii="宋体" w:hAnsi="宋体" w:eastAsia="宋体"/>
          <w:b w:val="0"/>
          <w:sz w:val="20"/>
        </w:rPr>
        <w:t>官网：https://www.sh-medvision.com    电话：4006137090</w:t>
      </w:r>
    </w:p>
    <w:p>
      <w:pPr>
        <w:spacing w:line="336" w:lineRule="auto" w:after="120"/>
        <w:jc w:val="center"/>
      </w:pPr>
      <w:r>
        <w:rPr>
          <w:rFonts w:ascii="宋体" w:hAnsi="宋体" w:eastAsia="宋体"/>
          <w:b w:val="0"/>
          <w:sz w:val="20"/>
        </w:rPr>
        <w:t>地址：上海市闵行区光华路689号H座1层</w:t>
      </w:r>
    </w:p>
    <w:p>
      <w:r>
        <w:br w:type="page"/>
      </w:r>
    </w:p>
    <w:p>
      <w:pPr>
        <w:spacing w:line="336" w:lineRule="auto" w:after="120"/>
        <w:jc w:val="center"/>
      </w:pPr>
      <w:r>
        <w:rPr>
          <w:rFonts w:ascii="宋体" w:hAnsi="宋体" w:eastAsia="宋体"/>
          <w:b/>
          <w:sz w:val="36"/>
        </w:rPr>
        <w:t>目录</w:t>
      </w:r>
    </w:p>
    <w:p>
      <w:pPr>
        <w:spacing w:line="336" w:lineRule="auto" w:after="120"/>
      </w:pPr>
      <w:r>
        <w:rPr>
          <w:rFonts w:ascii="宋体" w:hAnsi="宋体" w:eastAsia="宋体"/>
          <w:b w:val="0"/>
          <w:sz w:val="21"/>
        </w:rPr>
        <w:t>一、项目概述</w:t>
      </w:r>
    </w:p>
    <w:p>
      <w:pPr>
        <w:spacing w:line="336" w:lineRule="auto" w:after="120"/>
      </w:pPr>
      <w:r>
        <w:rPr>
          <w:rFonts w:ascii="宋体" w:hAnsi="宋体" w:eastAsia="宋体"/>
          <w:b w:val="0"/>
          <w:sz w:val="21"/>
        </w:rPr>
        <w:t>二、建设背景与需求分析</w:t>
      </w:r>
    </w:p>
    <w:p>
      <w:pPr>
        <w:spacing w:line="336" w:lineRule="auto" w:after="120"/>
      </w:pPr>
      <w:r>
        <w:rPr>
          <w:rFonts w:ascii="宋体" w:hAnsi="宋体" w:eastAsia="宋体"/>
          <w:b w:val="0"/>
          <w:sz w:val="21"/>
        </w:rPr>
        <w:t>三、建设目标与设计原则</w:t>
      </w:r>
    </w:p>
    <w:p>
      <w:pPr>
        <w:spacing w:line="336" w:lineRule="auto" w:after="120"/>
      </w:pPr>
      <w:r>
        <w:rPr>
          <w:rFonts w:ascii="宋体" w:hAnsi="宋体" w:eastAsia="宋体"/>
          <w:b w:val="0"/>
          <w:sz w:val="21"/>
        </w:rPr>
        <w:t>四、编制依据与标准说明</w:t>
      </w:r>
    </w:p>
    <w:p>
      <w:pPr>
        <w:spacing w:line="336" w:lineRule="auto" w:after="120"/>
      </w:pPr>
      <w:r>
        <w:rPr>
          <w:rFonts w:ascii="宋体" w:hAnsi="宋体" w:eastAsia="宋体"/>
          <w:b w:val="0"/>
          <w:sz w:val="21"/>
        </w:rPr>
        <w:t>五、总体架构设计</w:t>
      </w:r>
    </w:p>
    <w:p>
      <w:pPr>
        <w:spacing w:line="336" w:lineRule="auto" w:after="120"/>
      </w:pPr>
      <w:r>
        <w:rPr>
          <w:rFonts w:ascii="宋体" w:hAnsi="宋体" w:eastAsia="宋体"/>
          <w:b w:val="0"/>
          <w:sz w:val="21"/>
        </w:rPr>
        <w:t>六、系统功能设计</w:t>
      </w:r>
    </w:p>
    <w:p>
      <w:pPr>
        <w:spacing w:line="336" w:lineRule="auto" w:after="120"/>
      </w:pPr>
      <w:r>
        <w:rPr>
          <w:rFonts w:ascii="宋体" w:hAnsi="宋体" w:eastAsia="宋体"/>
          <w:b w:val="0"/>
          <w:sz w:val="21"/>
        </w:rPr>
        <w:t>七、设备与软件配置参考</w:t>
      </w:r>
    </w:p>
    <w:p>
      <w:pPr>
        <w:spacing w:line="336" w:lineRule="auto" w:after="120"/>
      </w:pPr>
      <w:r>
        <w:rPr>
          <w:rFonts w:ascii="宋体" w:hAnsi="宋体" w:eastAsia="宋体"/>
          <w:b w:val="0"/>
          <w:sz w:val="21"/>
        </w:rPr>
        <w:t>八、接口与系统集成边界</w:t>
      </w:r>
    </w:p>
    <w:p>
      <w:pPr>
        <w:spacing w:line="336" w:lineRule="auto" w:after="120"/>
      </w:pPr>
      <w:r>
        <w:rPr>
          <w:rFonts w:ascii="宋体" w:hAnsi="宋体" w:eastAsia="宋体"/>
          <w:b w:val="0"/>
          <w:sz w:val="21"/>
        </w:rPr>
        <w:t>九、网络安全、权限与数据管理</w:t>
      </w:r>
    </w:p>
    <w:p>
      <w:pPr>
        <w:spacing w:line="336" w:lineRule="auto" w:after="120"/>
      </w:pPr>
      <w:r>
        <w:rPr>
          <w:rFonts w:ascii="宋体" w:hAnsi="宋体" w:eastAsia="宋体"/>
          <w:b w:val="0"/>
          <w:sz w:val="21"/>
        </w:rPr>
        <w:t>十、项目实施组织方案</w:t>
      </w:r>
    </w:p>
    <w:p>
      <w:pPr>
        <w:spacing w:line="336" w:lineRule="auto" w:after="120"/>
      </w:pPr>
      <w:r>
        <w:rPr>
          <w:rFonts w:ascii="宋体" w:hAnsi="宋体" w:eastAsia="宋体"/>
          <w:b w:val="0"/>
          <w:sz w:val="21"/>
        </w:rPr>
        <w:t>十一、测试、联调与验收方案</w:t>
      </w:r>
    </w:p>
    <w:p>
      <w:pPr>
        <w:spacing w:line="336" w:lineRule="auto" w:after="120"/>
      </w:pPr>
      <w:r>
        <w:rPr>
          <w:rFonts w:ascii="宋体" w:hAnsi="宋体" w:eastAsia="宋体"/>
          <w:b w:val="0"/>
          <w:sz w:val="21"/>
        </w:rPr>
        <w:t>十二、培训、运维与售后服务</w:t>
      </w:r>
    </w:p>
    <w:p>
      <w:pPr>
        <w:spacing w:line="336" w:lineRule="auto" w:after="120"/>
      </w:pPr>
      <w:r>
        <w:rPr>
          <w:rFonts w:ascii="宋体" w:hAnsi="宋体" w:eastAsia="宋体"/>
          <w:b w:val="0"/>
          <w:sz w:val="21"/>
        </w:rPr>
        <w:t>十三、技术响应表</w:t>
      </w:r>
    </w:p>
    <w:p>
      <w:pPr>
        <w:spacing w:line="336" w:lineRule="auto" w:after="120"/>
      </w:pPr>
      <w:r>
        <w:rPr>
          <w:rFonts w:ascii="宋体" w:hAnsi="宋体" w:eastAsia="宋体"/>
          <w:b w:val="0"/>
          <w:sz w:val="21"/>
        </w:rPr>
        <w:t>十四、首视信息与投标资料占位</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8788"/>
      </w:tblGrid>
      <w:tr>
        <w:tc>
          <w:tcPr>
            <w:tcW w:type="dxa" w:w="8788"/>
            <w:shd w:fill="F5F7FA"/>
          </w:tcPr>
          <w:p>
            <w:pPr>
              <w:spacing w:line="324" w:lineRule="auto"/>
            </w:pPr>
            <w:r>
              <w:rPr>
                <w:rFonts w:ascii="宋体" w:hAnsi="宋体" w:eastAsia="黑体"/>
                <w:b/>
                <w:sz w:val="20"/>
              </w:rPr>
              <w:t>目录说明：</w:t>
            </w:r>
            <w:r>
              <w:rPr>
                <w:rFonts w:ascii="宋体" w:hAnsi="宋体" w:eastAsia="宋体"/>
                <w:sz w:val="20"/>
              </w:rPr>
              <w:t>本目录为编制参考目录。项目经理可在 Word 中根据最终页码更新目录，或结合招标文件要求调整章节顺序。</w:t>
            </w:r>
          </w:p>
        </w:tc>
      </w:tr>
    </w:tbl>
    <w:p>
      <w:r>
        <w:br w:type="page"/>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8788"/>
      </w:tblGrid>
      <w:tr>
        <w:tc>
          <w:tcPr>
            <w:tcW w:type="dxa" w:w="8788"/>
            <w:shd w:fill="F5F7FA"/>
          </w:tcPr>
          <w:p>
            <w:pPr>
              <w:spacing w:line="324" w:lineRule="auto"/>
            </w:pPr>
            <w:r>
              <w:rPr>
                <w:rFonts w:ascii="宋体" w:hAnsi="宋体" w:eastAsia="黑体"/>
                <w:b/>
                <w:sz w:val="20"/>
              </w:rPr>
              <w:t>使用边界：</w:t>
            </w:r>
            <w:r>
              <w:rPr>
                <w:rFonts w:ascii="宋体" w:hAnsi="宋体" w:eastAsia="宋体"/>
                <w:sz w:val="20"/>
              </w:rPr>
              <w:t>本文档用于项目经理编写投标技术方案、项目建议书和技术响应文件时参考。具体参数、品牌型号、接口字段、设备数量、施工范围、验收指标和商务条款，应以招标文件、现场勘查、医院确认资料和正式合同为准。文档不作测评结果、全量系统接入、全部设备控制或自动识别全部场景等承诺。</w:t>
            </w:r>
          </w:p>
        </w:tc>
      </w:tr>
    </w:tbl>
    <w:p>
      <w:pPr>
        <w:pStyle w:val="Heading1"/>
      </w:pPr>
      <w:r>
        <w:t>一、项目概述</w:t>
      </w:r>
    </w:p>
    <w:p>
      <w:pPr>
        <w:pStyle w:val="Heading2"/>
      </w:pPr>
      <w:r>
        <w:t>（一）项目名称</w:t>
      </w:r>
    </w:p>
    <w:p>
      <w:pPr>
        <w:spacing w:line="360" w:lineRule="auto" w:after="120"/>
        <w:ind w:firstLine="420"/>
      </w:pPr>
      <w:r>
        <w:rPr>
          <w:rFonts w:ascii="宋体" w:hAnsi="宋体" w:eastAsia="宋体"/>
          <w:sz w:val="21"/>
        </w:rPr>
        <w:t>本项目名称为【填写项目名称】。本技术方案围绕医院【填写科室或建设区域】的实际建设需求编制，用于说明系统建设目标、总体架构、功能设计、设备配置参考、接口边界、实施组织、验收与运维服务等内容。</w:t>
      </w:r>
    </w:p>
    <w:p>
      <w:pPr>
        <w:pStyle w:val="Heading2"/>
      </w:pPr>
      <w:r>
        <w:t>（二）方案定位</w:t>
      </w:r>
    </w:p>
    <w:p>
      <w:pPr>
        <w:spacing w:line="360" w:lineRule="auto" w:after="120"/>
        <w:ind w:firstLine="420"/>
      </w:pPr>
      <w:r>
        <w:rPr>
          <w:rFonts w:ascii="宋体" w:hAnsi="宋体" w:eastAsia="宋体"/>
          <w:sz w:val="21"/>
        </w:rPr>
        <w:t>手术示教系统用于把术中画面、讲解音频、教学互动和手术资料统一采集、传输、录制、点播和权限管理。</w:t>
      </w:r>
    </w:p>
    <w:p>
      <w:pPr>
        <w:spacing w:line="360" w:lineRule="auto" w:after="120"/>
        <w:ind w:firstLine="420"/>
      </w:pPr>
      <w:r>
        <w:rPr>
          <w:rFonts w:ascii="宋体" w:hAnsi="宋体" w:eastAsia="宋体"/>
          <w:sz w:val="21"/>
        </w:rPr>
        <w:t>上海首视信息科技有限公司（SH-MEDVISION）长期服务智慧手术部建设、数字化手术室、手术示教、远程会诊、ICU 探视、手术室行为管理和院内视频协作等项目场景，可根据医院建设阶段提供方案设计、产品配置、系统集成、实施交付和运维支持。</w:t>
      </w:r>
    </w:p>
    <w:p>
      <w:pPr>
        <w:pStyle w:val="Heading2"/>
      </w:pPr>
      <w:r>
        <w:t>（三）建设范围</w:t>
      </w:r>
    </w:p>
    <w:p>
      <w:pPr>
        <w:spacing w:line="324" w:lineRule="auto" w:after="80"/>
        <w:ind w:left="480" w:hanging="360"/>
      </w:pPr>
      <w:r>
        <w:rPr>
          <w:rFonts w:ascii="宋体" w:hAnsi="宋体" w:eastAsia="宋体"/>
          <w:sz w:val="21"/>
        </w:rPr>
        <w:t>1. 本方案覆盖手术示教系统相关的软件平台、前端终端、服务器、网络接入、系统联调、培训和验收资料。</w:t>
      </w:r>
    </w:p>
    <w:p>
      <w:pPr>
        <w:spacing w:line="324" w:lineRule="auto" w:after="80"/>
        <w:ind w:left="480" w:hanging="360"/>
      </w:pPr>
      <w:r>
        <w:rPr>
          <w:rFonts w:ascii="宋体" w:hAnsi="宋体" w:eastAsia="宋体"/>
          <w:sz w:val="21"/>
        </w:rPr>
        <w:t>2. 涉及土建、净化、强电、弱电桥架、机房改造、第三方接口开发、历史数据迁移和外部网络专线的内容，应按招标文件和项目现场条件另行确认。</w:t>
      </w:r>
    </w:p>
    <w:p>
      <w:pPr>
        <w:spacing w:line="324" w:lineRule="auto" w:after="80"/>
        <w:ind w:left="480" w:hanging="360"/>
      </w:pPr>
      <w:r>
        <w:rPr>
          <w:rFonts w:ascii="宋体" w:hAnsi="宋体" w:eastAsia="宋体"/>
          <w:sz w:val="21"/>
        </w:rPr>
        <w:t>3. 涉及患者信息、手术资料、影像资料、音视频资料和访问日志的内容，应在医院授权范围内使用，并遵守医院信息安全和隐私保护制度。</w:t>
      </w:r>
    </w:p>
    <w:p>
      <w:pPr>
        <w:pStyle w:val="Heading2"/>
      </w:pPr>
      <w:r>
        <w:t>（四）投标文件替换项</w:t>
      </w:r>
    </w:p>
    <w:p>
      <w:pPr>
        <w:spacing w:line="360" w:lineRule="auto" w:after="120"/>
        <w:ind w:firstLine="420"/>
      </w:pPr>
      <w:r>
        <w:rPr>
          <w:rFonts w:ascii="宋体" w:hAnsi="宋体" w:eastAsia="宋体"/>
          <w:sz w:val="21"/>
        </w:rPr>
        <w:t>项目经理使用本文件时，应优先替换下表内容。凡涉及数量、接口、房间、床位、保存周期和施工范围的内容，均不宜直接沿用示例文字，应以招标文件、现场勘查和院方确认单为准。</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4394"/>
        <w:gridCol w:w="4394"/>
      </w:tblGrid>
      <w:tr>
        <w:tc>
          <w:tcPr>
            <w:tcW w:type="dxa" w:w="2267"/>
            <w:shd w:fill="EAF2F8"/>
            <w:vAlign w:val="center"/>
          </w:tcPr>
          <w:p>
            <w:pPr>
              <w:spacing w:after="0"/>
              <w:jc w:val="center"/>
            </w:pPr>
            <w:r>
              <w:rPr>
                <w:rFonts w:ascii="宋体" w:hAnsi="宋体" w:eastAsia="黑体"/>
                <w:b/>
                <w:sz w:val="20"/>
              </w:rPr>
              <w:t>替换项</w:t>
            </w:r>
          </w:p>
        </w:tc>
        <w:tc>
          <w:tcPr>
            <w:tcW w:type="dxa" w:w="6746"/>
            <w:shd w:fill="EAF2F8"/>
            <w:vAlign w:val="center"/>
          </w:tcPr>
          <w:p>
            <w:pPr>
              <w:spacing w:after="0"/>
              <w:jc w:val="center"/>
            </w:pPr>
            <w:r>
              <w:rPr>
                <w:rFonts w:ascii="宋体" w:hAnsi="宋体" w:eastAsia="黑体"/>
                <w:b/>
                <w:sz w:val="20"/>
              </w:rPr>
              <w:t>填写要求</w:t>
            </w:r>
          </w:p>
        </w:tc>
      </w:tr>
      <w:tr>
        <w:tc>
          <w:tcPr>
            <w:tcW w:type="dxa" w:w="2267"/>
            <w:vAlign w:val="center"/>
          </w:tcPr>
          <w:p>
            <w:pPr>
              <w:spacing w:after="0" w:line="300" w:lineRule="auto"/>
              <w:jc w:val="center"/>
            </w:pPr>
            <w:r>
              <w:rPr>
                <w:rFonts w:ascii="宋体" w:hAnsi="宋体" w:eastAsia="宋体"/>
                <w:sz w:val="19"/>
              </w:rPr>
              <w:t>项目名称</w:t>
            </w:r>
          </w:p>
        </w:tc>
        <w:tc>
          <w:tcPr>
            <w:tcW w:type="dxa" w:w="6746"/>
            <w:vAlign w:val="center"/>
          </w:tcPr>
          <w:p>
            <w:pPr>
              <w:spacing w:after="0" w:line="300" w:lineRule="auto"/>
            </w:pPr>
            <w:r>
              <w:rPr>
                <w:rFonts w:ascii="宋体" w:hAnsi="宋体" w:eastAsia="宋体"/>
                <w:sz w:val="19"/>
              </w:rPr>
              <w:t>填写招标项目全称，与招标文件封面、投标函和报价文件保持一致。</w:t>
            </w:r>
          </w:p>
        </w:tc>
      </w:tr>
      <w:tr>
        <w:tc>
          <w:tcPr>
            <w:tcW w:type="dxa" w:w="2267"/>
            <w:vAlign w:val="center"/>
          </w:tcPr>
          <w:p>
            <w:pPr>
              <w:spacing w:after="0" w:line="300" w:lineRule="auto"/>
              <w:jc w:val="center"/>
            </w:pPr>
            <w:r>
              <w:rPr>
                <w:rFonts w:ascii="宋体" w:hAnsi="宋体" w:eastAsia="宋体"/>
                <w:sz w:val="19"/>
              </w:rPr>
              <w:t>建设单位</w:t>
            </w:r>
          </w:p>
        </w:tc>
        <w:tc>
          <w:tcPr>
            <w:tcW w:type="dxa" w:w="6746"/>
            <w:vAlign w:val="center"/>
          </w:tcPr>
          <w:p>
            <w:pPr>
              <w:spacing w:after="0" w:line="300" w:lineRule="auto"/>
            </w:pPr>
            <w:r>
              <w:rPr>
                <w:rFonts w:ascii="宋体" w:hAnsi="宋体" w:eastAsia="宋体"/>
                <w:sz w:val="19"/>
              </w:rPr>
              <w:t>填写医院全称；如为医共体、院区或分院项目，应写明具体院区。</w:t>
            </w:r>
          </w:p>
        </w:tc>
      </w:tr>
      <w:tr>
        <w:tc>
          <w:tcPr>
            <w:tcW w:type="dxa" w:w="2267"/>
            <w:vAlign w:val="center"/>
          </w:tcPr>
          <w:p>
            <w:pPr>
              <w:spacing w:after="0" w:line="300" w:lineRule="auto"/>
              <w:jc w:val="center"/>
            </w:pPr>
            <w:r>
              <w:rPr>
                <w:rFonts w:ascii="宋体" w:hAnsi="宋体" w:eastAsia="宋体"/>
                <w:sz w:val="19"/>
              </w:rPr>
              <w:t>建设地点</w:t>
            </w:r>
          </w:p>
        </w:tc>
        <w:tc>
          <w:tcPr>
            <w:tcW w:type="dxa" w:w="6746"/>
            <w:vAlign w:val="center"/>
          </w:tcPr>
          <w:p>
            <w:pPr>
              <w:spacing w:after="0" w:line="300" w:lineRule="auto"/>
            </w:pPr>
            <w:r>
              <w:rPr>
                <w:rFonts w:ascii="宋体" w:hAnsi="宋体" w:eastAsia="宋体"/>
                <w:sz w:val="19"/>
              </w:rPr>
              <w:t>填写楼栋、楼层、手术部、ICU、会诊中心、示教室或相关业务区域。</w:t>
            </w:r>
          </w:p>
        </w:tc>
      </w:tr>
      <w:tr>
        <w:tc>
          <w:tcPr>
            <w:tcW w:type="dxa" w:w="2267"/>
            <w:vAlign w:val="center"/>
          </w:tcPr>
          <w:p>
            <w:pPr>
              <w:spacing w:after="0" w:line="300" w:lineRule="auto"/>
              <w:jc w:val="center"/>
            </w:pPr>
            <w:r>
              <w:rPr>
                <w:rFonts w:ascii="宋体" w:hAnsi="宋体" w:eastAsia="宋体"/>
                <w:sz w:val="19"/>
              </w:rPr>
              <w:t>建设范围</w:t>
            </w:r>
          </w:p>
        </w:tc>
        <w:tc>
          <w:tcPr>
            <w:tcW w:type="dxa" w:w="6746"/>
            <w:vAlign w:val="center"/>
          </w:tcPr>
          <w:p>
            <w:pPr>
              <w:spacing w:after="0" w:line="300" w:lineRule="auto"/>
            </w:pPr>
            <w:r>
              <w:rPr>
                <w:rFonts w:ascii="宋体" w:hAnsi="宋体" w:eastAsia="宋体"/>
                <w:sz w:val="19"/>
              </w:rPr>
              <w:t>填写本次纳入手术示教系统建设的房间、点位、终端、平台和接口范围。</w:t>
            </w:r>
          </w:p>
        </w:tc>
      </w:tr>
      <w:tr>
        <w:tc>
          <w:tcPr>
            <w:tcW w:type="dxa" w:w="2267"/>
            <w:vAlign w:val="center"/>
          </w:tcPr>
          <w:p>
            <w:pPr>
              <w:spacing w:after="0" w:line="300" w:lineRule="auto"/>
              <w:jc w:val="center"/>
            </w:pPr>
            <w:r>
              <w:rPr>
                <w:rFonts w:ascii="宋体" w:hAnsi="宋体" w:eastAsia="宋体"/>
                <w:sz w:val="19"/>
              </w:rPr>
              <w:t>投标人</w:t>
            </w:r>
          </w:p>
        </w:tc>
        <w:tc>
          <w:tcPr>
            <w:tcW w:type="dxa" w:w="6746"/>
            <w:vAlign w:val="center"/>
          </w:tcPr>
          <w:p>
            <w:pPr>
              <w:spacing w:after="0" w:line="300" w:lineRule="auto"/>
            </w:pPr>
            <w:r>
              <w:rPr>
                <w:rFonts w:ascii="宋体" w:hAnsi="宋体" w:eastAsia="宋体"/>
                <w:sz w:val="19"/>
              </w:rPr>
              <w:t>可填写上海首视信息科技有限公司或联合体/代理商名称，须与商务标保持一致。</w:t>
            </w:r>
          </w:p>
        </w:tc>
      </w:tr>
      <w:tr>
        <w:tc>
          <w:tcPr>
            <w:tcW w:type="dxa" w:w="2267"/>
            <w:vAlign w:val="center"/>
          </w:tcPr>
          <w:p>
            <w:pPr>
              <w:spacing w:after="0" w:line="300" w:lineRule="auto"/>
              <w:jc w:val="center"/>
            </w:pPr>
            <w:r>
              <w:rPr>
                <w:rFonts w:ascii="宋体" w:hAnsi="宋体" w:eastAsia="宋体"/>
                <w:sz w:val="19"/>
              </w:rPr>
              <w:t>项目联系人</w:t>
            </w:r>
          </w:p>
        </w:tc>
        <w:tc>
          <w:tcPr>
            <w:tcW w:type="dxa" w:w="6746"/>
            <w:vAlign w:val="center"/>
          </w:tcPr>
          <w:p>
            <w:pPr>
              <w:spacing w:after="0" w:line="300" w:lineRule="auto"/>
            </w:pPr>
            <w:r>
              <w:rPr>
                <w:rFonts w:ascii="宋体" w:hAnsi="宋体" w:eastAsia="宋体"/>
                <w:sz w:val="19"/>
              </w:rPr>
              <w:t>填写项目经理、技术负责人、售后负责人及联系方式。</w:t>
            </w:r>
          </w:p>
        </w:tc>
      </w:tr>
      <w:tr>
        <w:tc>
          <w:tcPr>
            <w:tcW w:type="dxa" w:w="2267"/>
            <w:vAlign w:val="center"/>
          </w:tcPr>
          <w:p>
            <w:pPr>
              <w:spacing w:after="0" w:line="300" w:lineRule="auto"/>
              <w:jc w:val="center"/>
            </w:pPr>
            <w:r>
              <w:rPr>
                <w:rFonts w:ascii="宋体" w:hAnsi="宋体" w:eastAsia="宋体"/>
                <w:sz w:val="19"/>
              </w:rPr>
              <w:t>示教教室数量</w:t>
            </w:r>
          </w:p>
        </w:tc>
        <w:tc>
          <w:tcPr>
            <w:tcW w:type="dxa" w:w="6746"/>
            <w:vAlign w:val="center"/>
          </w:tcPr>
          <w:p>
            <w:pPr>
              <w:spacing w:after="0" w:line="300" w:lineRule="auto"/>
            </w:pPr>
            <w:r>
              <w:rPr>
                <w:rFonts w:ascii="宋体" w:hAnsi="宋体" w:eastAsia="宋体"/>
                <w:sz w:val="19"/>
              </w:rPr>
              <w:t>填写示教室、会议室、报告厅、教学终端或远程观摩点数量。</w:t>
            </w:r>
          </w:p>
        </w:tc>
      </w:tr>
      <w:tr>
        <w:tc>
          <w:tcPr>
            <w:tcW w:type="dxa" w:w="2267"/>
            <w:vAlign w:val="center"/>
          </w:tcPr>
          <w:p>
            <w:pPr>
              <w:spacing w:after="0" w:line="300" w:lineRule="auto"/>
              <w:jc w:val="center"/>
            </w:pPr>
            <w:r>
              <w:rPr>
                <w:rFonts w:ascii="宋体" w:hAnsi="宋体" w:eastAsia="宋体"/>
                <w:sz w:val="19"/>
              </w:rPr>
              <w:t>录播留存周期</w:t>
            </w:r>
          </w:p>
        </w:tc>
        <w:tc>
          <w:tcPr>
            <w:tcW w:type="dxa" w:w="6746"/>
            <w:vAlign w:val="center"/>
          </w:tcPr>
          <w:p>
            <w:pPr>
              <w:spacing w:after="0" w:line="300" w:lineRule="auto"/>
            </w:pPr>
            <w:r>
              <w:rPr>
                <w:rFonts w:ascii="宋体" w:hAnsi="宋体" w:eastAsia="宋体"/>
                <w:sz w:val="19"/>
              </w:rPr>
              <w:t>填写录像保存周期、课程归档规则、下载审批和脱敏要求。</w:t>
            </w:r>
          </w:p>
        </w:tc>
      </w:tr>
    </w:tbl>
    <w:p>
      <w:pPr>
        <w:spacing w:after="40"/>
      </w:pPr>
    </w:p>
    <w:p>
      <w:pPr>
        <w:pStyle w:val="Heading1"/>
      </w:pPr>
      <w:r>
        <w:t>二、建设背景与需求分析</w:t>
      </w:r>
    </w:p>
    <w:p>
      <w:pPr>
        <w:pStyle w:val="Heading2"/>
      </w:pPr>
      <w:r>
        <w:t>（一）建设背景</w:t>
      </w:r>
    </w:p>
    <w:p>
      <w:pPr>
        <w:spacing w:line="360" w:lineRule="auto" w:after="120"/>
        <w:ind w:firstLine="420"/>
      </w:pPr>
      <w:r>
        <w:rPr>
          <w:rFonts w:ascii="宋体" w:hAnsi="宋体" w:eastAsia="宋体"/>
          <w:sz w:val="21"/>
        </w:rPr>
        <w:t>教学医院和专科培训场景需要让观摩人员在不进入手术间的情况下看到清晰术野、腔镜画面和必要全景流程。</w:t>
      </w:r>
    </w:p>
    <w:p>
      <w:pPr>
        <w:spacing w:line="360" w:lineRule="auto" w:after="120"/>
        <w:ind w:firstLine="420"/>
      </w:pPr>
      <w:r>
        <w:rPr>
          <w:rFonts w:ascii="宋体" w:hAnsi="宋体" w:eastAsia="宋体"/>
          <w:sz w:val="21"/>
        </w:rPr>
        <w:t>手术示教不是普通直播，必须处理画面来源、音频讲解、权限控制、资料留存、隐私保护和课程管理。</w:t>
      </w:r>
    </w:p>
    <w:p>
      <w:pPr>
        <w:spacing w:line="360" w:lineRule="auto" w:after="120"/>
        <w:ind w:firstLine="420"/>
      </w:pPr>
      <w:r>
        <w:rPr>
          <w:rFonts w:ascii="宋体" w:hAnsi="宋体" w:eastAsia="宋体"/>
          <w:sz w:val="21"/>
        </w:rPr>
        <w:t>固定式示教适合核心手术间，移动式示教适合多手术间轮转和临时培训，方案应按医院场景组合设计。</w:t>
      </w:r>
    </w:p>
    <w:p>
      <w:pPr>
        <w:pStyle w:val="Heading2"/>
      </w:pPr>
      <w:r>
        <w:t>（二）典型使用场景</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737"/>
            <w:shd w:fill="EAF2F8"/>
            <w:vAlign w:val="center"/>
          </w:tcPr>
          <w:p>
            <w:pPr>
              <w:spacing w:after="0"/>
              <w:jc w:val="center"/>
            </w:pPr>
            <w:r>
              <w:rPr>
                <w:rFonts w:ascii="宋体" w:hAnsi="宋体" w:eastAsia="黑体"/>
                <w:b/>
                <w:sz w:val="20"/>
              </w:rPr>
              <w:t>序号</w:t>
            </w:r>
          </w:p>
        </w:tc>
        <w:tc>
          <w:tcPr>
            <w:tcW w:type="dxa" w:w="2607"/>
            <w:shd w:fill="EAF2F8"/>
            <w:vAlign w:val="center"/>
          </w:tcPr>
          <w:p>
            <w:pPr>
              <w:spacing w:after="0"/>
              <w:jc w:val="center"/>
            </w:pPr>
            <w:r>
              <w:rPr>
                <w:rFonts w:ascii="宋体" w:hAnsi="宋体" w:eastAsia="黑体"/>
                <w:b/>
                <w:sz w:val="20"/>
              </w:rPr>
              <w:t>场景</w:t>
            </w:r>
          </w:p>
        </w:tc>
        <w:tc>
          <w:tcPr>
            <w:tcW w:type="dxa" w:w="5669"/>
            <w:shd w:fill="EAF2F8"/>
            <w:vAlign w:val="center"/>
          </w:tcPr>
          <w:p>
            <w:pPr>
              <w:spacing w:after="0"/>
              <w:jc w:val="center"/>
            </w:pPr>
            <w:r>
              <w:rPr>
                <w:rFonts w:ascii="宋体" w:hAnsi="宋体" w:eastAsia="黑体"/>
                <w:b/>
                <w:sz w:val="20"/>
              </w:rPr>
              <w:t>建设关注点</w:t>
            </w:r>
          </w:p>
        </w:tc>
      </w:tr>
      <w:tr>
        <w:tc>
          <w:tcPr>
            <w:tcW w:type="dxa" w:w="737"/>
            <w:vAlign w:val="center"/>
          </w:tcPr>
          <w:p>
            <w:pPr>
              <w:spacing w:after="0" w:line="300" w:lineRule="auto"/>
              <w:jc w:val="center"/>
            </w:pPr>
            <w:r>
              <w:rPr>
                <w:rFonts w:ascii="宋体" w:hAnsi="宋体" w:eastAsia="宋体"/>
                <w:sz w:val="19"/>
              </w:rPr>
              <w:t>1</w:t>
            </w:r>
          </w:p>
        </w:tc>
        <w:tc>
          <w:tcPr>
            <w:tcW w:type="dxa" w:w="2607"/>
            <w:vAlign w:val="center"/>
          </w:tcPr>
          <w:p>
            <w:pPr>
              <w:spacing w:after="0" w:line="300" w:lineRule="auto"/>
            </w:pPr>
            <w:r>
              <w:rPr>
                <w:rFonts w:ascii="宋体" w:hAnsi="宋体" w:eastAsia="宋体"/>
                <w:sz w:val="19"/>
              </w:rPr>
              <w:t>手术示教室</w:t>
            </w:r>
          </w:p>
        </w:tc>
        <w:tc>
          <w:tcPr>
            <w:tcW w:type="dxa" w:w="5669"/>
            <w:vAlign w:val="center"/>
          </w:tcPr>
          <w:p>
            <w:pPr>
              <w:spacing w:after="0" w:line="300" w:lineRule="auto"/>
            </w:pPr>
            <w:r>
              <w:rPr>
                <w:rFonts w:ascii="宋体" w:hAnsi="宋体" w:eastAsia="宋体"/>
                <w:sz w:val="19"/>
              </w:rPr>
              <w:t>术野画面、腔镜接入、音频互动、录播归档和观看权限。</w:t>
            </w:r>
          </w:p>
        </w:tc>
      </w:tr>
      <w:tr>
        <w:tc>
          <w:tcPr>
            <w:tcW w:type="dxa" w:w="737"/>
            <w:vAlign w:val="center"/>
          </w:tcPr>
          <w:p>
            <w:pPr>
              <w:spacing w:after="0" w:line="300" w:lineRule="auto"/>
              <w:jc w:val="center"/>
            </w:pPr>
            <w:r>
              <w:rPr>
                <w:rFonts w:ascii="宋体" w:hAnsi="宋体" w:eastAsia="宋体"/>
                <w:sz w:val="19"/>
              </w:rPr>
              <w:t>2</w:t>
            </w:r>
          </w:p>
        </w:tc>
        <w:tc>
          <w:tcPr>
            <w:tcW w:type="dxa" w:w="2607"/>
            <w:vAlign w:val="center"/>
          </w:tcPr>
          <w:p>
            <w:pPr>
              <w:spacing w:after="0" w:line="300" w:lineRule="auto"/>
            </w:pPr>
            <w:r>
              <w:rPr>
                <w:rFonts w:ascii="宋体" w:hAnsi="宋体" w:eastAsia="宋体"/>
                <w:sz w:val="19"/>
              </w:rPr>
              <w:t>规培基地</w:t>
            </w:r>
          </w:p>
        </w:tc>
        <w:tc>
          <w:tcPr>
            <w:tcW w:type="dxa" w:w="5669"/>
            <w:vAlign w:val="center"/>
          </w:tcPr>
          <w:p>
            <w:pPr>
              <w:spacing w:after="0" w:line="300" w:lineRule="auto"/>
            </w:pPr>
            <w:r>
              <w:rPr>
                <w:rFonts w:ascii="宋体" w:hAnsi="宋体" w:eastAsia="宋体"/>
                <w:sz w:val="19"/>
              </w:rPr>
              <w:t>术野画面、腔镜接入、音频互动、录播归档和观看权限。</w:t>
            </w:r>
          </w:p>
        </w:tc>
      </w:tr>
      <w:tr>
        <w:tc>
          <w:tcPr>
            <w:tcW w:type="dxa" w:w="737"/>
            <w:vAlign w:val="center"/>
          </w:tcPr>
          <w:p>
            <w:pPr>
              <w:spacing w:after="0" w:line="300" w:lineRule="auto"/>
              <w:jc w:val="center"/>
            </w:pPr>
            <w:r>
              <w:rPr>
                <w:rFonts w:ascii="宋体" w:hAnsi="宋体" w:eastAsia="宋体"/>
                <w:sz w:val="19"/>
              </w:rPr>
              <w:t>3</w:t>
            </w:r>
          </w:p>
        </w:tc>
        <w:tc>
          <w:tcPr>
            <w:tcW w:type="dxa" w:w="2607"/>
            <w:vAlign w:val="center"/>
          </w:tcPr>
          <w:p>
            <w:pPr>
              <w:spacing w:after="0" w:line="300" w:lineRule="auto"/>
            </w:pPr>
            <w:r>
              <w:rPr>
                <w:rFonts w:ascii="宋体" w:hAnsi="宋体" w:eastAsia="宋体"/>
                <w:sz w:val="19"/>
              </w:rPr>
              <w:t>专科培训中心</w:t>
            </w:r>
          </w:p>
        </w:tc>
        <w:tc>
          <w:tcPr>
            <w:tcW w:type="dxa" w:w="5669"/>
            <w:vAlign w:val="center"/>
          </w:tcPr>
          <w:p>
            <w:pPr>
              <w:spacing w:after="0" w:line="300" w:lineRule="auto"/>
            </w:pPr>
            <w:r>
              <w:rPr>
                <w:rFonts w:ascii="宋体" w:hAnsi="宋体" w:eastAsia="宋体"/>
                <w:sz w:val="19"/>
              </w:rPr>
              <w:t>术野画面、腔镜接入、音频互动、录播归档和观看权限。</w:t>
            </w:r>
          </w:p>
        </w:tc>
      </w:tr>
      <w:tr>
        <w:tc>
          <w:tcPr>
            <w:tcW w:type="dxa" w:w="737"/>
            <w:vAlign w:val="center"/>
          </w:tcPr>
          <w:p>
            <w:pPr>
              <w:spacing w:after="0" w:line="300" w:lineRule="auto"/>
              <w:jc w:val="center"/>
            </w:pPr>
            <w:r>
              <w:rPr>
                <w:rFonts w:ascii="宋体" w:hAnsi="宋体" w:eastAsia="宋体"/>
                <w:sz w:val="19"/>
              </w:rPr>
              <w:t>4</w:t>
            </w:r>
          </w:p>
        </w:tc>
        <w:tc>
          <w:tcPr>
            <w:tcW w:type="dxa" w:w="2607"/>
            <w:vAlign w:val="center"/>
          </w:tcPr>
          <w:p>
            <w:pPr>
              <w:spacing w:after="0" w:line="300" w:lineRule="auto"/>
            </w:pPr>
            <w:r>
              <w:rPr>
                <w:rFonts w:ascii="宋体" w:hAnsi="宋体" w:eastAsia="宋体"/>
                <w:sz w:val="19"/>
              </w:rPr>
              <w:t>移动式手术示教</w:t>
            </w:r>
          </w:p>
        </w:tc>
        <w:tc>
          <w:tcPr>
            <w:tcW w:type="dxa" w:w="5669"/>
            <w:vAlign w:val="center"/>
          </w:tcPr>
          <w:p>
            <w:pPr>
              <w:spacing w:after="0" w:line="300" w:lineRule="auto"/>
            </w:pPr>
            <w:r>
              <w:rPr>
                <w:rFonts w:ascii="宋体" w:hAnsi="宋体" w:eastAsia="宋体"/>
                <w:sz w:val="19"/>
              </w:rPr>
              <w:t>术野画面、腔镜接入、音频互动、录播归档和观看权限。</w:t>
            </w:r>
          </w:p>
        </w:tc>
      </w:tr>
      <w:tr>
        <w:tc>
          <w:tcPr>
            <w:tcW w:type="dxa" w:w="737"/>
            <w:vAlign w:val="center"/>
          </w:tcPr>
          <w:p>
            <w:pPr>
              <w:spacing w:after="0" w:line="300" w:lineRule="auto"/>
              <w:jc w:val="center"/>
            </w:pPr>
            <w:r>
              <w:rPr>
                <w:rFonts w:ascii="宋体" w:hAnsi="宋体" w:eastAsia="宋体"/>
                <w:sz w:val="19"/>
              </w:rPr>
              <w:t>5</w:t>
            </w:r>
          </w:p>
        </w:tc>
        <w:tc>
          <w:tcPr>
            <w:tcW w:type="dxa" w:w="2607"/>
            <w:vAlign w:val="center"/>
          </w:tcPr>
          <w:p>
            <w:pPr>
              <w:spacing w:after="0" w:line="300" w:lineRule="auto"/>
            </w:pPr>
            <w:r>
              <w:rPr>
                <w:rFonts w:ascii="宋体" w:hAnsi="宋体" w:eastAsia="宋体"/>
                <w:sz w:val="19"/>
              </w:rPr>
              <w:t>远程专家指导和病例讨论</w:t>
            </w:r>
          </w:p>
        </w:tc>
        <w:tc>
          <w:tcPr>
            <w:tcW w:type="dxa" w:w="5669"/>
            <w:vAlign w:val="center"/>
          </w:tcPr>
          <w:p>
            <w:pPr>
              <w:spacing w:after="0" w:line="300" w:lineRule="auto"/>
            </w:pPr>
            <w:r>
              <w:rPr>
                <w:rFonts w:ascii="宋体" w:hAnsi="宋体" w:eastAsia="宋体"/>
                <w:sz w:val="19"/>
              </w:rPr>
              <w:t>术野画面、腔镜接入、音频互动、录播归档和观看权限。</w:t>
            </w:r>
          </w:p>
        </w:tc>
      </w:tr>
    </w:tbl>
    <w:p>
      <w:pPr>
        <w:spacing w:after="40"/>
      </w:pPr>
    </w:p>
    <w:p>
      <w:pPr>
        <w:pStyle w:val="Heading2"/>
      </w:pPr>
      <w:r>
        <w:t>（三）关键需求分析</w:t>
      </w:r>
    </w:p>
    <w:p>
      <w:pPr>
        <w:spacing w:line="324" w:lineRule="auto" w:after="80"/>
        <w:ind w:left="480" w:hanging="360"/>
      </w:pPr>
      <w:r>
        <w:rPr>
          <w:rFonts w:ascii="宋体" w:hAnsi="宋体" w:eastAsia="宋体"/>
          <w:sz w:val="21"/>
        </w:rPr>
        <w:t>1. 业务需求：满足手术示教系统在真实医院场景中的使用流程，而不是仅满足设备安装和单点演示。</w:t>
      </w:r>
    </w:p>
    <w:p>
      <w:pPr>
        <w:spacing w:line="324" w:lineRule="auto" w:after="80"/>
        <w:ind w:left="480" w:hanging="360"/>
      </w:pPr>
      <w:r>
        <w:rPr>
          <w:rFonts w:ascii="宋体" w:hAnsi="宋体" w:eastAsia="宋体"/>
          <w:sz w:val="21"/>
        </w:rPr>
        <w:t>2. 安全需求：账号、权限、日志、资料留存、远程访问和运维操作应有明确管理边界。</w:t>
      </w:r>
    </w:p>
    <w:p>
      <w:pPr>
        <w:spacing w:line="324" w:lineRule="auto" w:after="80"/>
        <w:ind w:left="480" w:hanging="360"/>
      </w:pPr>
      <w:r>
        <w:rPr>
          <w:rFonts w:ascii="宋体" w:hAnsi="宋体" w:eastAsia="宋体"/>
          <w:sz w:val="21"/>
        </w:rPr>
        <w:t>3. 实施需求：现场施工、线缆敷设、设备安装、系统联调和培训需尽量减少对临床业务的影响。</w:t>
      </w:r>
    </w:p>
    <w:p>
      <w:pPr>
        <w:spacing w:line="324" w:lineRule="auto" w:after="80"/>
        <w:ind w:left="480" w:hanging="360"/>
      </w:pPr>
      <w:r>
        <w:rPr>
          <w:rFonts w:ascii="宋体" w:hAnsi="宋体" w:eastAsia="宋体"/>
          <w:sz w:val="21"/>
        </w:rPr>
        <w:t>4. 运维需求：交付后应便于医院信息科、医学工程科和业务科室共同维护。</w:t>
      </w:r>
    </w:p>
    <w:p>
      <w:pPr>
        <w:pStyle w:val="Heading2"/>
      </w:pPr>
      <w:r>
        <w:t>（四）建设痛点与响应策略</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2381"/>
            <w:shd w:fill="EAF2F8"/>
            <w:vAlign w:val="center"/>
          </w:tcPr>
          <w:p>
            <w:pPr>
              <w:spacing w:after="0"/>
              <w:jc w:val="center"/>
            </w:pPr>
            <w:r>
              <w:rPr>
                <w:rFonts w:ascii="宋体" w:hAnsi="宋体" w:eastAsia="黑体"/>
                <w:b/>
                <w:sz w:val="20"/>
              </w:rPr>
              <w:t>常见痛点</w:t>
            </w:r>
          </w:p>
        </w:tc>
        <w:tc>
          <w:tcPr>
            <w:tcW w:type="dxa" w:w="4081"/>
            <w:shd w:fill="EAF2F8"/>
            <w:vAlign w:val="center"/>
          </w:tcPr>
          <w:p>
            <w:pPr>
              <w:spacing w:after="0"/>
              <w:jc w:val="center"/>
            </w:pPr>
            <w:r>
              <w:rPr>
                <w:rFonts w:ascii="宋体" w:hAnsi="宋体" w:eastAsia="黑体"/>
                <w:b/>
                <w:sz w:val="20"/>
              </w:rPr>
              <w:t>方案响应策略</w:t>
            </w:r>
          </w:p>
        </w:tc>
        <w:tc>
          <w:tcPr>
            <w:tcW w:type="dxa" w:w="2551"/>
            <w:shd w:fill="EAF2F8"/>
            <w:vAlign w:val="center"/>
          </w:tcPr>
          <w:p>
            <w:pPr>
              <w:spacing w:after="0"/>
              <w:jc w:val="center"/>
            </w:pPr>
            <w:r>
              <w:rPr>
                <w:rFonts w:ascii="宋体" w:hAnsi="宋体" w:eastAsia="黑体"/>
                <w:b/>
                <w:sz w:val="20"/>
              </w:rPr>
              <w:t>建议形成的资料</w:t>
            </w:r>
          </w:p>
        </w:tc>
      </w:tr>
      <w:tr>
        <w:tc>
          <w:tcPr>
            <w:tcW w:type="dxa" w:w="2381"/>
            <w:vAlign w:val="center"/>
          </w:tcPr>
          <w:p>
            <w:pPr>
              <w:spacing w:after="0" w:line="300" w:lineRule="auto"/>
              <w:jc w:val="center"/>
            </w:pPr>
            <w:r>
              <w:rPr>
                <w:rFonts w:ascii="宋体" w:hAnsi="宋体" w:eastAsia="宋体"/>
                <w:sz w:val="19"/>
              </w:rPr>
              <w:t>直播和教学边界混淆</w:t>
            </w:r>
          </w:p>
        </w:tc>
        <w:tc>
          <w:tcPr>
            <w:tcW w:type="dxa" w:w="4081"/>
            <w:vAlign w:val="center"/>
          </w:tcPr>
          <w:p>
            <w:pPr>
              <w:spacing w:after="0" w:line="300" w:lineRule="auto"/>
            </w:pPr>
            <w:r>
              <w:rPr>
                <w:rFonts w:ascii="宋体" w:hAnsi="宋体" w:eastAsia="宋体"/>
                <w:sz w:val="19"/>
              </w:rPr>
              <w:t>将院内示教、公开直播、远程观摩和录播课程分开配置权限、审核和留存规则。</w:t>
            </w:r>
          </w:p>
        </w:tc>
        <w:tc>
          <w:tcPr>
            <w:tcW w:type="dxa" w:w="2551"/>
            <w:vAlign w:val="center"/>
          </w:tcPr>
          <w:p>
            <w:pPr>
              <w:spacing w:after="0" w:line="300" w:lineRule="auto"/>
            </w:pPr>
            <w:r>
              <w:rPr>
                <w:rFonts w:ascii="宋体" w:hAnsi="宋体" w:eastAsia="宋体"/>
                <w:sz w:val="19"/>
              </w:rPr>
              <w:t>课程权限表、直播审批流程。</w:t>
            </w:r>
          </w:p>
        </w:tc>
      </w:tr>
      <w:tr>
        <w:tc>
          <w:tcPr>
            <w:tcW w:type="dxa" w:w="2381"/>
            <w:vAlign w:val="center"/>
          </w:tcPr>
          <w:p>
            <w:pPr>
              <w:spacing w:after="0" w:line="300" w:lineRule="auto"/>
              <w:jc w:val="center"/>
            </w:pPr>
            <w:r>
              <w:rPr>
                <w:rFonts w:ascii="宋体" w:hAnsi="宋体" w:eastAsia="宋体"/>
                <w:sz w:val="19"/>
              </w:rPr>
              <w:t>术野画面、腔镜画面切换不稳定</w:t>
            </w:r>
          </w:p>
        </w:tc>
        <w:tc>
          <w:tcPr>
            <w:tcW w:type="dxa" w:w="4081"/>
            <w:vAlign w:val="center"/>
          </w:tcPr>
          <w:p>
            <w:pPr>
              <w:spacing w:after="0" w:line="300" w:lineRule="auto"/>
            </w:pPr>
            <w:r>
              <w:rPr>
                <w:rFonts w:ascii="宋体" w:hAnsi="宋体" w:eastAsia="宋体"/>
                <w:sz w:val="19"/>
              </w:rPr>
              <w:t>按主讲视角设计多画面布局和导播策略，保留一键切换和应急静音。</w:t>
            </w:r>
          </w:p>
        </w:tc>
        <w:tc>
          <w:tcPr>
            <w:tcW w:type="dxa" w:w="2551"/>
            <w:vAlign w:val="center"/>
          </w:tcPr>
          <w:p>
            <w:pPr>
              <w:spacing w:after="0" w:line="300" w:lineRule="auto"/>
            </w:pPr>
            <w:r>
              <w:rPr>
                <w:rFonts w:ascii="宋体" w:hAnsi="宋体" w:eastAsia="宋体"/>
                <w:sz w:val="19"/>
              </w:rPr>
              <w:t>导播预案、信号测试记录。</w:t>
            </w:r>
          </w:p>
        </w:tc>
      </w:tr>
      <w:tr>
        <w:tc>
          <w:tcPr>
            <w:tcW w:type="dxa" w:w="2381"/>
            <w:vAlign w:val="center"/>
          </w:tcPr>
          <w:p>
            <w:pPr>
              <w:spacing w:after="0" w:line="300" w:lineRule="auto"/>
              <w:jc w:val="center"/>
            </w:pPr>
            <w:r>
              <w:rPr>
                <w:rFonts w:ascii="宋体" w:hAnsi="宋体" w:eastAsia="宋体"/>
                <w:sz w:val="19"/>
              </w:rPr>
              <w:t>教学资料后期难找</w:t>
            </w:r>
          </w:p>
        </w:tc>
        <w:tc>
          <w:tcPr>
            <w:tcW w:type="dxa" w:w="4081"/>
            <w:vAlign w:val="center"/>
          </w:tcPr>
          <w:p>
            <w:pPr>
              <w:spacing w:after="0" w:line="300" w:lineRule="auto"/>
            </w:pPr>
            <w:r>
              <w:rPr>
                <w:rFonts w:ascii="宋体" w:hAnsi="宋体" w:eastAsia="宋体"/>
                <w:sz w:val="19"/>
              </w:rPr>
              <w:t>按科室、术式、术者、课程、日期和标签归档，支持授权检索。</w:t>
            </w:r>
          </w:p>
        </w:tc>
        <w:tc>
          <w:tcPr>
            <w:tcW w:type="dxa" w:w="2551"/>
            <w:vAlign w:val="center"/>
          </w:tcPr>
          <w:p>
            <w:pPr>
              <w:spacing w:after="0" w:line="300" w:lineRule="auto"/>
            </w:pPr>
            <w:r>
              <w:rPr>
                <w:rFonts w:ascii="宋体" w:hAnsi="宋体" w:eastAsia="宋体"/>
                <w:sz w:val="19"/>
              </w:rPr>
              <w:t>资源分类规则、样例目录。</w:t>
            </w:r>
          </w:p>
        </w:tc>
      </w:tr>
      <w:tr>
        <w:tc>
          <w:tcPr>
            <w:tcW w:type="dxa" w:w="2381"/>
            <w:vAlign w:val="center"/>
          </w:tcPr>
          <w:p>
            <w:pPr>
              <w:spacing w:after="0" w:line="300" w:lineRule="auto"/>
              <w:jc w:val="center"/>
            </w:pPr>
            <w:r>
              <w:rPr>
                <w:rFonts w:ascii="宋体" w:hAnsi="宋体" w:eastAsia="宋体"/>
                <w:sz w:val="19"/>
              </w:rPr>
              <w:t>观摩人员权限难控</w:t>
            </w:r>
          </w:p>
        </w:tc>
        <w:tc>
          <w:tcPr>
            <w:tcW w:type="dxa" w:w="4081"/>
            <w:vAlign w:val="center"/>
          </w:tcPr>
          <w:p>
            <w:pPr>
              <w:spacing w:after="0" w:line="300" w:lineRule="auto"/>
            </w:pPr>
            <w:r>
              <w:rPr>
                <w:rFonts w:ascii="宋体" w:hAnsi="宋体" w:eastAsia="宋体"/>
                <w:sz w:val="19"/>
              </w:rPr>
              <w:t>采用账号、会议码、时段、终端范围和观看水印等方式控制访问。</w:t>
            </w:r>
          </w:p>
        </w:tc>
        <w:tc>
          <w:tcPr>
            <w:tcW w:type="dxa" w:w="2551"/>
            <w:vAlign w:val="center"/>
          </w:tcPr>
          <w:p>
            <w:pPr>
              <w:spacing w:after="0" w:line="300" w:lineRule="auto"/>
            </w:pPr>
            <w:r>
              <w:rPr>
                <w:rFonts w:ascii="宋体" w:hAnsi="宋体" w:eastAsia="宋体"/>
                <w:sz w:val="19"/>
              </w:rPr>
              <w:t>观看权限清单、日志截图。</w:t>
            </w:r>
          </w:p>
        </w:tc>
      </w:tr>
    </w:tbl>
    <w:p>
      <w:pPr>
        <w:spacing w:after="40"/>
      </w:pPr>
    </w:p>
    <w:p>
      <w:pPr>
        <w:pStyle w:val="Heading2"/>
      </w:pPr>
      <w:r>
        <w:t>（五）成熟方案做法对照</w:t>
      </w:r>
    </w:p>
    <w:p>
      <w:pPr>
        <w:spacing w:line="360" w:lineRule="auto" w:after="120"/>
        <w:ind w:firstLine="420"/>
      </w:pPr>
      <w:r>
        <w:rPr>
          <w:rFonts w:ascii="宋体" w:hAnsi="宋体" w:eastAsia="宋体"/>
          <w:sz w:val="21"/>
        </w:rPr>
        <w:t>从公开的国内外数字化手术室、手术集成和视频协作方案看，成熟方案通常不是单纯堆叠大屏、摄像机或会议终端，而是围绕多源接入、低延迟调度、集中控制、资料管理和安全运维组织能力。本方案按该思路拆分建设内容，并保留医院现有核心系统和医疗设备的原有责任边界。</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成熟做法</w:t>
            </w:r>
          </w:p>
        </w:tc>
        <w:tc>
          <w:tcPr>
            <w:tcW w:type="dxa" w:w="3458"/>
            <w:shd w:fill="EAF2F8"/>
            <w:vAlign w:val="center"/>
          </w:tcPr>
          <w:p>
            <w:pPr>
              <w:spacing w:after="0"/>
              <w:jc w:val="center"/>
            </w:pPr>
            <w:r>
              <w:rPr>
                <w:rFonts w:ascii="宋体" w:hAnsi="宋体" w:eastAsia="黑体"/>
                <w:b/>
                <w:sz w:val="20"/>
              </w:rPr>
              <w:t>行业常见关注点</w:t>
            </w:r>
          </w:p>
        </w:tc>
        <w:tc>
          <w:tcPr>
            <w:tcW w:type="dxa" w:w="3741"/>
            <w:shd w:fill="EAF2F8"/>
            <w:vAlign w:val="center"/>
          </w:tcPr>
          <w:p>
            <w:pPr>
              <w:spacing w:after="0"/>
              <w:jc w:val="center"/>
            </w:pPr>
            <w:r>
              <w:rPr>
                <w:rFonts w:ascii="宋体" w:hAnsi="宋体" w:eastAsia="黑体"/>
                <w:b/>
                <w:sz w:val="20"/>
              </w:rPr>
              <w:t>本方案落地方式</w:t>
            </w:r>
          </w:p>
        </w:tc>
      </w:tr>
      <w:tr>
        <w:tc>
          <w:tcPr>
            <w:tcW w:type="dxa" w:w="1814"/>
            <w:vAlign w:val="center"/>
          </w:tcPr>
          <w:p>
            <w:pPr>
              <w:spacing w:after="0" w:line="300" w:lineRule="auto"/>
              <w:jc w:val="center"/>
            </w:pPr>
            <w:r>
              <w:rPr>
                <w:rFonts w:ascii="宋体" w:hAnsi="宋体" w:eastAsia="宋体"/>
                <w:sz w:val="19"/>
              </w:rPr>
              <w:t>多源接入</w:t>
            </w:r>
          </w:p>
        </w:tc>
        <w:tc>
          <w:tcPr>
            <w:tcW w:type="dxa" w:w="3458"/>
            <w:vAlign w:val="center"/>
          </w:tcPr>
          <w:p>
            <w:pPr>
              <w:spacing w:after="0" w:line="300" w:lineRule="auto"/>
            </w:pPr>
            <w:r>
              <w:rPr>
                <w:rFonts w:ascii="宋体" w:hAnsi="宋体" w:eastAsia="宋体"/>
                <w:sz w:val="19"/>
              </w:rPr>
              <w:t>成熟数字化手术室方案通常先解决视频、音频、影像、设备状态和业务资料的统一接入。</w:t>
            </w:r>
          </w:p>
        </w:tc>
        <w:tc>
          <w:tcPr>
            <w:tcW w:type="dxa" w:w="3741"/>
            <w:vAlign w:val="center"/>
          </w:tcPr>
          <w:p>
            <w:pPr>
              <w:spacing w:after="0" w:line="300" w:lineRule="auto"/>
            </w:pPr>
            <w:r>
              <w:rPr>
                <w:rFonts w:ascii="宋体" w:hAnsi="宋体" w:eastAsia="宋体"/>
                <w:sz w:val="19"/>
              </w:rPr>
              <w:t>本方案先建立信号源、终端、接口和资料类型清单，再确定设备型号和数量。</w:t>
            </w:r>
          </w:p>
        </w:tc>
      </w:tr>
      <w:tr>
        <w:tc>
          <w:tcPr>
            <w:tcW w:type="dxa" w:w="1814"/>
            <w:vAlign w:val="center"/>
          </w:tcPr>
          <w:p>
            <w:pPr>
              <w:spacing w:after="0" w:line="300" w:lineRule="auto"/>
              <w:jc w:val="center"/>
            </w:pPr>
            <w:r>
              <w:rPr>
                <w:rFonts w:ascii="宋体" w:hAnsi="宋体" w:eastAsia="宋体"/>
                <w:sz w:val="19"/>
              </w:rPr>
              <w:t>低延迟调度</w:t>
            </w:r>
          </w:p>
        </w:tc>
        <w:tc>
          <w:tcPr>
            <w:tcW w:type="dxa" w:w="3458"/>
            <w:vAlign w:val="center"/>
          </w:tcPr>
          <w:p>
            <w:pPr>
              <w:spacing w:after="0" w:line="300" w:lineRule="auto"/>
            </w:pPr>
            <w:r>
              <w:rPr>
                <w:rFonts w:ascii="宋体" w:hAnsi="宋体" w:eastAsia="宋体"/>
                <w:sz w:val="19"/>
              </w:rPr>
              <w:t>术中画面调度强调稳定、清晰、可控，不应只看展示屏数量。</w:t>
            </w:r>
          </w:p>
        </w:tc>
        <w:tc>
          <w:tcPr>
            <w:tcW w:type="dxa" w:w="3741"/>
            <w:vAlign w:val="center"/>
          </w:tcPr>
          <w:p>
            <w:pPr>
              <w:spacing w:after="0" w:line="300" w:lineRule="auto"/>
            </w:pPr>
            <w:r>
              <w:rPr>
                <w:rFonts w:ascii="宋体" w:hAnsi="宋体" w:eastAsia="宋体"/>
                <w:sz w:val="19"/>
              </w:rPr>
              <w:t>按术中观看、示教转播、远程协作和录像留存分别配置路径。</w:t>
            </w:r>
          </w:p>
        </w:tc>
      </w:tr>
      <w:tr>
        <w:tc>
          <w:tcPr>
            <w:tcW w:type="dxa" w:w="1814"/>
            <w:vAlign w:val="center"/>
          </w:tcPr>
          <w:p>
            <w:pPr>
              <w:spacing w:after="0" w:line="300" w:lineRule="auto"/>
              <w:jc w:val="center"/>
            </w:pPr>
            <w:r>
              <w:rPr>
                <w:rFonts w:ascii="宋体" w:hAnsi="宋体" w:eastAsia="宋体"/>
                <w:sz w:val="19"/>
              </w:rPr>
              <w:t>集中控制</w:t>
            </w:r>
          </w:p>
        </w:tc>
        <w:tc>
          <w:tcPr>
            <w:tcW w:type="dxa" w:w="3458"/>
            <w:vAlign w:val="center"/>
          </w:tcPr>
          <w:p>
            <w:pPr>
              <w:spacing w:after="0" w:line="300" w:lineRule="auto"/>
            </w:pPr>
            <w:r>
              <w:rPr>
                <w:rFonts w:ascii="宋体" w:hAnsi="宋体" w:eastAsia="宋体"/>
                <w:sz w:val="19"/>
              </w:rPr>
              <w:t>触控终端、控制面板或平台界面用于减少重复操作，但不替代医疗设备自身安全控制。</w:t>
            </w:r>
          </w:p>
        </w:tc>
        <w:tc>
          <w:tcPr>
            <w:tcW w:type="dxa" w:w="3741"/>
            <w:vAlign w:val="center"/>
          </w:tcPr>
          <w:p>
            <w:pPr>
              <w:spacing w:after="0" w:line="300" w:lineRule="auto"/>
            </w:pPr>
            <w:r>
              <w:rPr>
                <w:rFonts w:ascii="宋体" w:hAnsi="宋体" w:eastAsia="宋体"/>
                <w:sz w:val="19"/>
              </w:rPr>
              <w:t>涉及灯、床、塔、环境或第三方设备控制时单独确认协议和责任边界。</w:t>
            </w:r>
          </w:p>
        </w:tc>
      </w:tr>
      <w:tr>
        <w:tc>
          <w:tcPr>
            <w:tcW w:type="dxa" w:w="1814"/>
            <w:vAlign w:val="center"/>
          </w:tcPr>
          <w:p>
            <w:pPr>
              <w:spacing w:after="0" w:line="300" w:lineRule="auto"/>
              <w:jc w:val="center"/>
            </w:pPr>
            <w:r>
              <w:rPr>
                <w:rFonts w:ascii="宋体" w:hAnsi="宋体" w:eastAsia="宋体"/>
                <w:sz w:val="19"/>
              </w:rPr>
              <w:t>资料管理</w:t>
            </w:r>
          </w:p>
        </w:tc>
        <w:tc>
          <w:tcPr>
            <w:tcW w:type="dxa" w:w="3458"/>
            <w:vAlign w:val="center"/>
          </w:tcPr>
          <w:p>
            <w:pPr>
              <w:spacing w:after="0" w:line="300" w:lineRule="auto"/>
            </w:pPr>
            <w:r>
              <w:rPr>
                <w:rFonts w:ascii="宋体" w:hAnsi="宋体" w:eastAsia="宋体"/>
                <w:sz w:val="19"/>
              </w:rPr>
              <w:t>手术图片、视频、会议记录和会诊资料通常需要权限、标签、检索、归档和删除策略。</w:t>
            </w:r>
          </w:p>
        </w:tc>
        <w:tc>
          <w:tcPr>
            <w:tcW w:type="dxa" w:w="3741"/>
            <w:vAlign w:val="center"/>
          </w:tcPr>
          <w:p>
            <w:pPr>
              <w:spacing w:after="0" w:line="300" w:lineRule="auto"/>
            </w:pPr>
            <w:r>
              <w:rPr>
                <w:rFonts w:ascii="宋体" w:hAnsi="宋体" w:eastAsia="宋体"/>
                <w:sz w:val="19"/>
              </w:rPr>
              <w:t>按医院制度确认保存周期、下载审批、脱敏规则和日志留存。</w:t>
            </w:r>
          </w:p>
        </w:tc>
      </w:tr>
      <w:tr>
        <w:tc>
          <w:tcPr>
            <w:tcW w:type="dxa" w:w="1814"/>
            <w:vAlign w:val="center"/>
          </w:tcPr>
          <w:p>
            <w:pPr>
              <w:spacing w:after="0" w:line="300" w:lineRule="auto"/>
              <w:jc w:val="center"/>
            </w:pPr>
            <w:r>
              <w:rPr>
                <w:rFonts w:ascii="宋体" w:hAnsi="宋体" w:eastAsia="宋体"/>
                <w:sz w:val="19"/>
              </w:rPr>
              <w:t>安全运维</w:t>
            </w:r>
          </w:p>
        </w:tc>
        <w:tc>
          <w:tcPr>
            <w:tcW w:type="dxa" w:w="3458"/>
            <w:vAlign w:val="center"/>
          </w:tcPr>
          <w:p>
            <w:pPr>
              <w:spacing w:after="0" w:line="300" w:lineRule="auto"/>
            </w:pPr>
            <w:r>
              <w:rPr>
                <w:rFonts w:ascii="宋体" w:hAnsi="宋体" w:eastAsia="宋体"/>
                <w:sz w:val="19"/>
              </w:rPr>
              <w:t>主流方案越来越强调账号权限、审计日志、远程维护控制和系统可扩展。</w:t>
            </w:r>
          </w:p>
        </w:tc>
        <w:tc>
          <w:tcPr>
            <w:tcW w:type="dxa" w:w="3741"/>
            <w:vAlign w:val="center"/>
          </w:tcPr>
          <w:p>
            <w:pPr>
              <w:spacing w:after="0" w:line="300" w:lineRule="auto"/>
            </w:pPr>
            <w:r>
              <w:rPr>
                <w:rFonts w:ascii="宋体" w:hAnsi="宋体" w:eastAsia="宋体"/>
                <w:sz w:val="19"/>
              </w:rPr>
              <w:t>按医院网络分区、等保要求、运维账号和接口清单进行交付。</w:t>
            </w:r>
          </w:p>
        </w:tc>
      </w:tr>
    </w:tbl>
    <w:p>
      <w:pPr>
        <w:spacing w:after="40"/>
      </w:pPr>
    </w:p>
    <w:p>
      <w:pPr>
        <w:pStyle w:val="Heading1"/>
      </w:pPr>
      <w:r>
        <w:t>三、建设目标与设计原则</w:t>
      </w:r>
    </w:p>
    <w:p>
      <w:pPr>
        <w:pStyle w:val="Heading2"/>
      </w:pPr>
      <w:r>
        <w:t>（一）建设目标</w:t>
      </w:r>
    </w:p>
    <w:p>
      <w:pPr>
        <w:spacing w:line="324" w:lineRule="auto" w:after="80"/>
        <w:ind w:left="480" w:hanging="360"/>
      </w:pPr>
      <w:r>
        <w:rPr>
          <w:rFonts w:ascii="宋体" w:hAnsi="宋体" w:eastAsia="宋体"/>
          <w:sz w:val="21"/>
        </w:rPr>
        <w:t>1. 建立稳定的手术画面、音频和课件采集通道，提高教学观摩质量。</w:t>
      </w:r>
    </w:p>
    <w:p>
      <w:pPr>
        <w:spacing w:line="324" w:lineRule="auto" w:after="80"/>
        <w:ind w:left="480" w:hanging="360"/>
      </w:pPr>
      <w:r>
        <w:rPr>
          <w:rFonts w:ascii="宋体" w:hAnsi="宋体" w:eastAsia="宋体"/>
          <w:sz w:val="21"/>
        </w:rPr>
        <w:t>2. 支持直播、录播、回看、课程归档和病例复盘，形成可复用教学资源。</w:t>
      </w:r>
    </w:p>
    <w:p>
      <w:pPr>
        <w:spacing w:line="324" w:lineRule="auto" w:after="80"/>
        <w:ind w:left="480" w:hanging="360"/>
      </w:pPr>
      <w:r>
        <w:rPr>
          <w:rFonts w:ascii="宋体" w:hAnsi="宋体" w:eastAsia="宋体"/>
          <w:sz w:val="21"/>
        </w:rPr>
        <w:t>3. 控制观看对象、观看时间、录制权限和下载权限，保护患者和医护隐私。</w:t>
      </w:r>
    </w:p>
    <w:p>
      <w:pPr>
        <w:spacing w:line="324" w:lineRule="auto" w:after="80"/>
        <w:ind w:left="480" w:hanging="360"/>
      </w:pPr>
      <w:r>
        <w:rPr>
          <w:rFonts w:ascii="宋体" w:hAnsi="宋体" w:eastAsia="宋体"/>
          <w:sz w:val="21"/>
        </w:rPr>
        <w:t>4. 支持固定式、移动式和远程专家接入等多种部署方式。</w:t>
      </w:r>
    </w:p>
    <w:p>
      <w:pPr>
        <w:pStyle w:val="Heading2"/>
      </w:pPr>
      <w:r>
        <w:t>（二）设计原则</w:t>
      </w:r>
    </w:p>
    <w:p>
      <w:pPr>
        <w:spacing w:line="324" w:lineRule="auto" w:after="80"/>
        <w:ind w:left="480" w:hanging="360"/>
      </w:pPr>
      <w:r>
        <w:rPr>
          <w:rFonts w:ascii="宋体" w:hAnsi="宋体" w:eastAsia="宋体"/>
          <w:sz w:val="21"/>
        </w:rPr>
        <w:t>1. 业务优先：方案围绕医院实际流程和管理问题展开，不以设备堆叠替代业务设计。</w:t>
      </w:r>
    </w:p>
    <w:p>
      <w:pPr>
        <w:spacing w:line="324" w:lineRule="auto" w:after="80"/>
        <w:ind w:left="480" w:hanging="360"/>
      </w:pPr>
      <w:r>
        <w:rPr>
          <w:rFonts w:ascii="宋体" w:hAnsi="宋体" w:eastAsia="宋体"/>
          <w:sz w:val="21"/>
        </w:rPr>
        <w:t>2. 安全合规：患者信息、手术资料、影像资料和访问日志均按医院授权范围使用。</w:t>
      </w:r>
    </w:p>
    <w:p>
      <w:pPr>
        <w:spacing w:line="324" w:lineRule="auto" w:after="80"/>
        <w:ind w:left="480" w:hanging="360"/>
      </w:pPr>
      <w:r>
        <w:rPr>
          <w:rFonts w:ascii="宋体" w:hAnsi="宋体" w:eastAsia="宋体"/>
          <w:sz w:val="21"/>
        </w:rPr>
        <w:t>3. 分阶段建设：支持先完成核心场景，再按预算、接口条件和院方计划扩展。</w:t>
      </w:r>
    </w:p>
    <w:p>
      <w:pPr>
        <w:spacing w:line="324" w:lineRule="auto" w:after="80"/>
        <w:ind w:left="480" w:hanging="360"/>
      </w:pPr>
      <w:r>
        <w:rPr>
          <w:rFonts w:ascii="宋体" w:hAnsi="宋体" w:eastAsia="宋体"/>
          <w:sz w:val="21"/>
        </w:rPr>
        <w:t>4. 接口克制：只对接项目必要字段和必要业务，不承诺无边界读取或写入院内系统。</w:t>
      </w:r>
    </w:p>
    <w:p>
      <w:pPr>
        <w:spacing w:line="324" w:lineRule="auto" w:after="80"/>
        <w:ind w:left="480" w:hanging="360"/>
      </w:pPr>
      <w:r>
        <w:rPr>
          <w:rFonts w:ascii="宋体" w:hAnsi="宋体" w:eastAsia="宋体"/>
          <w:sz w:val="21"/>
        </w:rPr>
        <w:t>5. 可维护：交付物应包括点位、账号、网络、设备、培训、验收和运维资料。</w:t>
      </w:r>
    </w:p>
    <w:p>
      <w:pPr>
        <w:pStyle w:val="Heading1"/>
      </w:pPr>
      <w:r>
        <w:t>四、编制依据与标准说明</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680"/>
            <w:shd w:fill="EAF2F8"/>
            <w:vAlign w:val="center"/>
          </w:tcPr>
          <w:p>
            <w:pPr>
              <w:spacing w:after="0"/>
              <w:jc w:val="center"/>
            </w:pPr>
            <w:r>
              <w:rPr>
                <w:rFonts w:ascii="宋体" w:hAnsi="宋体" w:eastAsia="黑体"/>
                <w:b/>
                <w:sz w:val="20"/>
              </w:rPr>
              <w:t>序号</w:t>
            </w:r>
          </w:p>
        </w:tc>
        <w:tc>
          <w:tcPr>
            <w:tcW w:type="dxa" w:w="3401"/>
            <w:shd w:fill="EAF2F8"/>
            <w:vAlign w:val="center"/>
          </w:tcPr>
          <w:p>
            <w:pPr>
              <w:spacing w:after="0"/>
              <w:jc w:val="center"/>
            </w:pPr>
            <w:r>
              <w:rPr>
                <w:rFonts w:ascii="宋体" w:hAnsi="宋体" w:eastAsia="黑体"/>
                <w:b/>
                <w:sz w:val="20"/>
              </w:rPr>
              <w:t>依据或标准</w:t>
            </w:r>
          </w:p>
        </w:tc>
        <w:tc>
          <w:tcPr>
            <w:tcW w:type="dxa" w:w="4932"/>
            <w:shd w:fill="EAF2F8"/>
            <w:vAlign w:val="center"/>
          </w:tcPr>
          <w:p>
            <w:pPr>
              <w:spacing w:after="0"/>
              <w:jc w:val="center"/>
            </w:pPr>
            <w:r>
              <w:rPr>
                <w:rFonts w:ascii="宋体" w:hAnsi="宋体" w:eastAsia="黑体"/>
                <w:b/>
                <w:sz w:val="20"/>
              </w:rPr>
              <w:t>应用说明</w:t>
            </w:r>
          </w:p>
        </w:tc>
      </w:tr>
      <w:tr>
        <w:tc>
          <w:tcPr>
            <w:tcW w:type="dxa" w:w="680"/>
            <w:vAlign w:val="center"/>
          </w:tcPr>
          <w:p>
            <w:pPr>
              <w:spacing w:after="0" w:line="300" w:lineRule="auto"/>
              <w:jc w:val="center"/>
            </w:pPr>
            <w:r>
              <w:rPr>
                <w:rFonts w:ascii="宋体" w:hAnsi="宋体" w:eastAsia="宋体"/>
                <w:sz w:val="19"/>
              </w:rPr>
              <w:t>1</w:t>
            </w:r>
          </w:p>
        </w:tc>
        <w:tc>
          <w:tcPr>
            <w:tcW w:type="dxa" w:w="3401"/>
            <w:vAlign w:val="center"/>
          </w:tcPr>
          <w:p>
            <w:pPr>
              <w:spacing w:after="0" w:line="300" w:lineRule="auto"/>
            </w:pPr>
            <w:r>
              <w:rPr>
                <w:rFonts w:ascii="宋体" w:hAnsi="宋体" w:eastAsia="宋体"/>
                <w:sz w:val="19"/>
              </w:rPr>
              <w:t>招标文件、答疑文件、设计图纸及现场勘查资料</w:t>
            </w:r>
          </w:p>
        </w:tc>
        <w:tc>
          <w:tcPr>
            <w:tcW w:type="dxa" w:w="4932"/>
            <w:vAlign w:val="center"/>
          </w:tcPr>
          <w:p>
            <w:pPr>
              <w:spacing w:after="0" w:line="300" w:lineRule="auto"/>
            </w:pPr>
            <w:r>
              <w:rPr>
                <w:rFonts w:ascii="宋体" w:hAnsi="宋体" w:eastAsia="宋体"/>
                <w:sz w:val="19"/>
              </w:rPr>
              <w:t>作为项目范围、功能响应、实施边界和验收依据的首要文件。</w:t>
            </w:r>
          </w:p>
        </w:tc>
      </w:tr>
      <w:tr>
        <w:tc>
          <w:tcPr>
            <w:tcW w:type="dxa" w:w="680"/>
            <w:vAlign w:val="center"/>
          </w:tcPr>
          <w:p>
            <w:pPr>
              <w:spacing w:after="0" w:line="300" w:lineRule="auto"/>
              <w:jc w:val="center"/>
            </w:pPr>
            <w:r>
              <w:rPr>
                <w:rFonts w:ascii="宋体" w:hAnsi="宋体" w:eastAsia="宋体"/>
                <w:sz w:val="19"/>
              </w:rPr>
              <w:t>2</w:t>
            </w:r>
          </w:p>
        </w:tc>
        <w:tc>
          <w:tcPr>
            <w:tcW w:type="dxa" w:w="3401"/>
            <w:vAlign w:val="center"/>
          </w:tcPr>
          <w:p>
            <w:pPr>
              <w:spacing w:after="0" w:line="300" w:lineRule="auto"/>
            </w:pPr>
            <w:r>
              <w:rPr>
                <w:rFonts w:ascii="宋体" w:hAnsi="宋体" w:eastAsia="宋体"/>
                <w:sz w:val="19"/>
              </w:rPr>
              <w:t>《中华人民共和国网络安全法》《中华人民共和国数据安全法》《中华人民共和国个人信息保护法》</w:t>
            </w:r>
          </w:p>
        </w:tc>
        <w:tc>
          <w:tcPr>
            <w:tcW w:type="dxa" w:w="4932"/>
            <w:vAlign w:val="center"/>
          </w:tcPr>
          <w:p>
            <w:pPr>
              <w:spacing w:after="0" w:line="300" w:lineRule="auto"/>
            </w:pPr>
            <w:r>
              <w:rPr>
                <w:rFonts w:ascii="宋体" w:hAnsi="宋体" w:eastAsia="宋体"/>
                <w:sz w:val="19"/>
              </w:rPr>
              <w:t>用于约束个人信息、健康医疗数据、远程访问、日志审计和数据处理边界。</w:t>
            </w:r>
          </w:p>
        </w:tc>
      </w:tr>
      <w:tr>
        <w:tc>
          <w:tcPr>
            <w:tcW w:type="dxa" w:w="680"/>
            <w:vAlign w:val="center"/>
          </w:tcPr>
          <w:p>
            <w:pPr>
              <w:spacing w:after="0" w:line="300" w:lineRule="auto"/>
              <w:jc w:val="center"/>
            </w:pPr>
            <w:r>
              <w:rPr>
                <w:rFonts w:ascii="宋体" w:hAnsi="宋体" w:eastAsia="宋体"/>
                <w:sz w:val="19"/>
              </w:rPr>
              <w:t>3</w:t>
            </w:r>
          </w:p>
        </w:tc>
        <w:tc>
          <w:tcPr>
            <w:tcW w:type="dxa" w:w="3401"/>
            <w:vAlign w:val="center"/>
          </w:tcPr>
          <w:p>
            <w:pPr>
              <w:spacing w:after="0" w:line="300" w:lineRule="auto"/>
            </w:pPr>
            <w:r>
              <w:rPr>
                <w:rFonts w:ascii="宋体" w:hAnsi="宋体" w:eastAsia="宋体"/>
                <w:sz w:val="19"/>
              </w:rPr>
              <w:t>GB/T 22239-2019《信息安全技术 网络安全等级保护基本要求》</w:t>
            </w:r>
          </w:p>
        </w:tc>
        <w:tc>
          <w:tcPr>
            <w:tcW w:type="dxa" w:w="4932"/>
            <w:vAlign w:val="center"/>
          </w:tcPr>
          <w:p>
            <w:pPr>
              <w:spacing w:after="0" w:line="300" w:lineRule="auto"/>
            </w:pPr>
            <w:r>
              <w:rPr>
                <w:rFonts w:ascii="宋体" w:hAnsi="宋体" w:eastAsia="宋体"/>
                <w:sz w:val="19"/>
              </w:rPr>
              <w:t>用于网络安全、访问控制、日志审计和系统安全建设参考。</w:t>
            </w:r>
          </w:p>
        </w:tc>
      </w:tr>
      <w:tr>
        <w:tc>
          <w:tcPr>
            <w:tcW w:type="dxa" w:w="680"/>
            <w:vAlign w:val="center"/>
          </w:tcPr>
          <w:p>
            <w:pPr>
              <w:spacing w:after="0" w:line="300" w:lineRule="auto"/>
              <w:jc w:val="center"/>
            </w:pPr>
            <w:r>
              <w:rPr>
                <w:rFonts w:ascii="宋体" w:hAnsi="宋体" w:eastAsia="宋体"/>
                <w:sz w:val="19"/>
              </w:rPr>
              <w:t>4</w:t>
            </w:r>
          </w:p>
        </w:tc>
        <w:tc>
          <w:tcPr>
            <w:tcW w:type="dxa" w:w="3401"/>
            <w:vAlign w:val="center"/>
          </w:tcPr>
          <w:p>
            <w:pPr>
              <w:spacing w:after="0" w:line="300" w:lineRule="auto"/>
            </w:pPr>
            <w:r>
              <w:rPr>
                <w:rFonts w:ascii="宋体" w:hAnsi="宋体" w:eastAsia="宋体"/>
                <w:sz w:val="19"/>
              </w:rPr>
              <w:t>GB/T 39725-2020《信息安全技术 健康医疗数据安全指南》</w:t>
            </w:r>
          </w:p>
        </w:tc>
        <w:tc>
          <w:tcPr>
            <w:tcW w:type="dxa" w:w="4932"/>
            <w:vAlign w:val="center"/>
          </w:tcPr>
          <w:p>
            <w:pPr>
              <w:spacing w:after="0" w:line="300" w:lineRule="auto"/>
            </w:pPr>
            <w:r>
              <w:rPr>
                <w:rFonts w:ascii="宋体" w:hAnsi="宋体" w:eastAsia="宋体"/>
                <w:sz w:val="19"/>
              </w:rPr>
              <w:t>用于健康医疗数据分级、访问授权、传输存储和安全管理参考。</w:t>
            </w:r>
          </w:p>
        </w:tc>
      </w:tr>
      <w:tr>
        <w:tc>
          <w:tcPr>
            <w:tcW w:type="dxa" w:w="680"/>
            <w:vAlign w:val="center"/>
          </w:tcPr>
          <w:p>
            <w:pPr>
              <w:spacing w:after="0" w:line="300" w:lineRule="auto"/>
              <w:jc w:val="center"/>
            </w:pPr>
            <w:r>
              <w:rPr>
                <w:rFonts w:ascii="宋体" w:hAnsi="宋体" w:eastAsia="宋体"/>
                <w:sz w:val="19"/>
              </w:rPr>
              <w:t>5</w:t>
            </w:r>
          </w:p>
        </w:tc>
        <w:tc>
          <w:tcPr>
            <w:tcW w:type="dxa" w:w="3401"/>
            <w:vAlign w:val="center"/>
          </w:tcPr>
          <w:p>
            <w:pPr>
              <w:spacing w:after="0" w:line="300" w:lineRule="auto"/>
            </w:pPr>
            <w:r>
              <w:rPr>
                <w:rFonts w:ascii="宋体" w:hAnsi="宋体" w:eastAsia="宋体"/>
                <w:sz w:val="19"/>
              </w:rPr>
              <w:t>GB 50333-2013《医院洁净手术部建筑技术规范》</w:t>
            </w:r>
          </w:p>
        </w:tc>
        <w:tc>
          <w:tcPr>
            <w:tcW w:type="dxa" w:w="4932"/>
            <w:vAlign w:val="center"/>
          </w:tcPr>
          <w:p>
            <w:pPr>
              <w:spacing w:after="0" w:line="300" w:lineRule="auto"/>
            </w:pPr>
            <w:r>
              <w:rPr>
                <w:rFonts w:ascii="宋体" w:hAnsi="宋体" w:eastAsia="宋体"/>
                <w:sz w:val="19"/>
              </w:rPr>
              <w:t>涉及手术部洁净环境、装饰装修、设备安装和施工配合时作为重要参考。</w:t>
            </w:r>
          </w:p>
        </w:tc>
      </w:tr>
      <w:tr>
        <w:tc>
          <w:tcPr>
            <w:tcW w:type="dxa" w:w="680"/>
            <w:vAlign w:val="center"/>
          </w:tcPr>
          <w:p>
            <w:pPr>
              <w:spacing w:after="0" w:line="300" w:lineRule="auto"/>
              <w:jc w:val="center"/>
            </w:pPr>
            <w:r>
              <w:rPr>
                <w:rFonts w:ascii="宋体" w:hAnsi="宋体" w:eastAsia="宋体"/>
                <w:sz w:val="19"/>
              </w:rPr>
              <w:t>6</w:t>
            </w:r>
          </w:p>
        </w:tc>
        <w:tc>
          <w:tcPr>
            <w:tcW w:type="dxa" w:w="3401"/>
            <w:vAlign w:val="center"/>
          </w:tcPr>
          <w:p>
            <w:pPr>
              <w:spacing w:after="0" w:line="300" w:lineRule="auto"/>
            </w:pPr>
            <w:r>
              <w:rPr>
                <w:rFonts w:ascii="宋体" w:hAnsi="宋体" w:eastAsia="宋体"/>
                <w:sz w:val="19"/>
              </w:rPr>
              <w:t>GB 50311-2016《综合布线系统工程设计规范》</w:t>
            </w:r>
          </w:p>
        </w:tc>
        <w:tc>
          <w:tcPr>
            <w:tcW w:type="dxa" w:w="4932"/>
            <w:vAlign w:val="center"/>
          </w:tcPr>
          <w:p>
            <w:pPr>
              <w:spacing w:after="0" w:line="300" w:lineRule="auto"/>
            </w:pPr>
            <w:r>
              <w:rPr>
                <w:rFonts w:ascii="宋体" w:hAnsi="宋体" w:eastAsia="宋体"/>
                <w:sz w:val="19"/>
              </w:rPr>
              <w:t>用于弱电布线、链路规划、标签管理、机柜端接和后期运维资料整理参考。</w:t>
            </w:r>
          </w:p>
        </w:tc>
      </w:tr>
      <w:tr>
        <w:tc>
          <w:tcPr>
            <w:tcW w:type="dxa" w:w="680"/>
            <w:vAlign w:val="center"/>
          </w:tcPr>
          <w:p>
            <w:pPr>
              <w:spacing w:after="0" w:line="300" w:lineRule="auto"/>
              <w:jc w:val="center"/>
            </w:pPr>
            <w:r>
              <w:rPr>
                <w:rFonts w:ascii="宋体" w:hAnsi="宋体" w:eastAsia="宋体"/>
                <w:sz w:val="19"/>
              </w:rPr>
              <w:t>7</w:t>
            </w:r>
          </w:p>
        </w:tc>
        <w:tc>
          <w:tcPr>
            <w:tcW w:type="dxa" w:w="3401"/>
            <w:vAlign w:val="center"/>
          </w:tcPr>
          <w:p>
            <w:pPr>
              <w:spacing w:after="0" w:line="300" w:lineRule="auto"/>
            </w:pPr>
            <w:r>
              <w:rPr>
                <w:rFonts w:ascii="宋体" w:hAnsi="宋体" w:eastAsia="宋体"/>
                <w:sz w:val="19"/>
              </w:rPr>
              <w:t>GB/T 31458-2015《医院安全技术防范系统要求》</w:t>
            </w:r>
          </w:p>
        </w:tc>
        <w:tc>
          <w:tcPr>
            <w:tcW w:type="dxa" w:w="4932"/>
            <w:vAlign w:val="center"/>
          </w:tcPr>
          <w:p>
            <w:pPr>
              <w:spacing w:after="0" w:line="300" w:lineRule="auto"/>
            </w:pPr>
            <w:r>
              <w:rPr>
                <w:rFonts w:ascii="宋体" w:hAnsi="宋体" w:eastAsia="宋体"/>
                <w:sz w:val="19"/>
              </w:rPr>
              <w:t>涉及门禁、视频、身份识别、区域安全和安防联动时作为参考。</w:t>
            </w:r>
          </w:p>
        </w:tc>
      </w:tr>
      <w:tr>
        <w:tc>
          <w:tcPr>
            <w:tcW w:type="dxa" w:w="680"/>
            <w:vAlign w:val="center"/>
          </w:tcPr>
          <w:p>
            <w:pPr>
              <w:spacing w:after="0" w:line="300" w:lineRule="auto"/>
              <w:jc w:val="center"/>
            </w:pPr>
            <w:r>
              <w:rPr>
                <w:rFonts w:ascii="宋体" w:hAnsi="宋体" w:eastAsia="宋体"/>
                <w:sz w:val="19"/>
              </w:rPr>
              <w:t>8</w:t>
            </w:r>
          </w:p>
        </w:tc>
        <w:tc>
          <w:tcPr>
            <w:tcW w:type="dxa" w:w="3401"/>
            <w:vAlign w:val="center"/>
          </w:tcPr>
          <w:p>
            <w:pPr>
              <w:spacing w:after="0" w:line="300" w:lineRule="auto"/>
            </w:pPr>
            <w:r>
              <w:rPr>
                <w:rFonts w:ascii="宋体" w:hAnsi="宋体" w:eastAsia="宋体"/>
                <w:sz w:val="19"/>
              </w:rPr>
              <w:t>国家卫生健康主管部门关于远程医疗、互联网诊疗、医疗质量安全和医院信息化建设的相关管理要求</w:t>
            </w:r>
          </w:p>
        </w:tc>
        <w:tc>
          <w:tcPr>
            <w:tcW w:type="dxa" w:w="4932"/>
            <w:vAlign w:val="center"/>
          </w:tcPr>
          <w:p>
            <w:pPr>
              <w:spacing w:after="0" w:line="300" w:lineRule="auto"/>
            </w:pPr>
            <w:r>
              <w:rPr>
                <w:rFonts w:ascii="宋体" w:hAnsi="宋体" w:eastAsia="宋体"/>
                <w:sz w:val="19"/>
              </w:rPr>
              <w:t>用于区分远程会诊、互联网诊疗、远程教学和院内协作边界，避免把技术平台写成诊疗资质承诺。</w:t>
            </w:r>
          </w:p>
        </w:tc>
      </w:tr>
      <w:tr>
        <w:tc>
          <w:tcPr>
            <w:tcW w:type="dxa" w:w="680"/>
            <w:vAlign w:val="center"/>
          </w:tcPr>
          <w:p>
            <w:pPr>
              <w:spacing w:after="0" w:line="300" w:lineRule="auto"/>
              <w:jc w:val="center"/>
            </w:pPr>
            <w:r>
              <w:rPr>
                <w:rFonts w:ascii="宋体" w:hAnsi="宋体" w:eastAsia="宋体"/>
                <w:sz w:val="19"/>
              </w:rPr>
              <w:t>9</w:t>
            </w:r>
          </w:p>
        </w:tc>
        <w:tc>
          <w:tcPr>
            <w:tcW w:type="dxa" w:w="3401"/>
            <w:vAlign w:val="center"/>
          </w:tcPr>
          <w:p>
            <w:pPr>
              <w:spacing w:after="0" w:line="300" w:lineRule="auto"/>
            </w:pPr>
            <w:r>
              <w:rPr>
                <w:rFonts w:ascii="宋体" w:hAnsi="宋体" w:eastAsia="宋体"/>
                <w:sz w:val="19"/>
              </w:rPr>
              <w:t>医院信息化建设、网络安全、数据安全和个人信息保护相关制度</w:t>
            </w:r>
          </w:p>
        </w:tc>
        <w:tc>
          <w:tcPr>
            <w:tcW w:type="dxa" w:w="4932"/>
            <w:vAlign w:val="center"/>
          </w:tcPr>
          <w:p>
            <w:pPr>
              <w:spacing w:after="0" w:line="300" w:lineRule="auto"/>
            </w:pPr>
            <w:r>
              <w:rPr>
                <w:rFonts w:ascii="宋体" w:hAnsi="宋体" w:eastAsia="宋体"/>
                <w:sz w:val="19"/>
              </w:rPr>
              <w:t>用于约束账号权限、数据使用、隐私保护和运维审计。</w:t>
            </w:r>
          </w:p>
        </w:tc>
      </w:tr>
      <w:tr>
        <w:tc>
          <w:tcPr>
            <w:tcW w:type="dxa" w:w="680"/>
            <w:vAlign w:val="center"/>
          </w:tcPr>
          <w:p>
            <w:pPr>
              <w:spacing w:after="0" w:line="300" w:lineRule="auto"/>
              <w:jc w:val="center"/>
            </w:pPr>
            <w:r>
              <w:rPr>
                <w:rFonts w:ascii="宋体" w:hAnsi="宋体" w:eastAsia="宋体"/>
                <w:sz w:val="19"/>
              </w:rPr>
              <w:t>10</w:t>
            </w:r>
          </w:p>
        </w:tc>
        <w:tc>
          <w:tcPr>
            <w:tcW w:type="dxa" w:w="3401"/>
            <w:vAlign w:val="center"/>
          </w:tcPr>
          <w:p>
            <w:pPr>
              <w:spacing w:after="0" w:line="300" w:lineRule="auto"/>
            </w:pPr>
            <w:r>
              <w:rPr>
                <w:rFonts w:ascii="宋体" w:hAnsi="宋体" w:eastAsia="宋体"/>
                <w:sz w:val="19"/>
              </w:rPr>
              <w:t>医院现行手术部、ICU、信息科、医学工程和院感管理制度</w:t>
            </w:r>
          </w:p>
        </w:tc>
        <w:tc>
          <w:tcPr>
            <w:tcW w:type="dxa" w:w="4932"/>
            <w:vAlign w:val="center"/>
          </w:tcPr>
          <w:p>
            <w:pPr>
              <w:spacing w:after="0" w:line="300" w:lineRule="auto"/>
            </w:pPr>
            <w:r>
              <w:rPr>
                <w:rFonts w:ascii="宋体" w:hAnsi="宋体" w:eastAsia="宋体"/>
                <w:sz w:val="19"/>
              </w:rPr>
              <w:t>用于确定项目实施组织、临床使用规则和验收边界。</w:t>
            </w:r>
          </w:p>
        </w:tc>
      </w:tr>
    </w:tbl>
    <w:p>
      <w:pPr>
        <w:spacing w:after="40"/>
      </w:pP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8788"/>
      </w:tblGrid>
      <w:tr>
        <w:tc>
          <w:tcPr>
            <w:tcW w:type="dxa" w:w="8788"/>
            <w:shd w:fill="F5F7FA"/>
          </w:tcPr>
          <w:p>
            <w:pPr>
              <w:spacing w:line="324" w:lineRule="auto"/>
            </w:pPr>
            <w:r>
              <w:rPr>
                <w:rFonts w:ascii="宋体" w:hAnsi="宋体" w:eastAsia="黑体"/>
                <w:b/>
                <w:sz w:val="20"/>
              </w:rPr>
              <w:t>标准适用说明：</w:t>
            </w:r>
            <w:r>
              <w:rPr>
                <w:rFonts w:ascii="宋体" w:hAnsi="宋体" w:eastAsia="宋体"/>
                <w:sz w:val="20"/>
              </w:rPr>
              <w:t>本表为投标编制常用依据清单。正式投标文件应以招标文件要求、项目所在地监管要求和标准现行有效版本为准；如招标文件列明专用标准，应优先采用招标文件要求。</w:t>
            </w:r>
          </w:p>
        </w:tc>
      </w:tr>
    </w:tbl>
    <w:p>
      <w:pPr>
        <w:pStyle w:val="Heading2"/>
      </w:pPr>
      <w:r>
        <w:t>（一）合规边界写法</w:t>
      </w:r>
    </w:p>
    <w:p>
      <w:pPr>
        <w:spacing w:line="324" w:lineRule="auto" w:after="80"/>
        <w:ind w:left="480" w:hanging="360"/>
      </w:pPr>
      <w:r>
        <w:rPr>
          <w:rFonts w:ascii="宋体" w:hAnsi="宋体" w:eastAsia="宋体"/>
          <w:sz w:val="21"/>
        </w:rPr>
        <w:t>1. 涉及洁净手术部、ICU 和医疗业务区域施工时，本方案仅说明信息化系统、弱电和终端部署配合要求；净化、装饰、消防、强电和医用气体等专业工程应由相应专业单位按规范实施。</w:t>
      </w:r>
    </w:p>
    <w:p>
      <w:pPr>
        <w:spacing w:line="324" w:lineRule="auto" w:after="80"/>
        <w:ind w:left="480" w:hanging="360"/>
      </w:pPr>
      <w:r>
        <w:rPr>
          <w:rFonts w:ascii="宋体" w:hAnsi="宋体" w:eastAsia="宋体"/>
          <w:sz w:val="21"/>
        </w:rPr>
        <w:t>2. 涉及远程会诊、远程示教、ICU 探视和院外专家接入时，系统提供音视频协作、资料共享、权限审计和留痕能力，不替代医疗机构的执业资质、诊疗责任和医疗质量管理制度。</w:t>
      </w:r>
    </w:p>
    <w:p>
      <w:pPr>
        <w:spacing w:line="324" w:lineRule="auto" w:after="80"/>
        <w:ind w:left="480" w:hanging="360"/>
      </w:pPr>
      <w:r>
        <w:rPr>
          <w:rFonts w:ascii="宋体" w:hAnsi="宋体" w:eastAsia="宋体"/>
          <w:sz w:val="21"/>
        </w:rPr>
        <w:t>3. 涉及患者资料、手术影像、会诊资料和探视记录时，应按医院制度进行授权、脱敏、保存、删除和调阅审批，投标文件不宜承诺无条件开放下载或长期保存。</w:t>
      </w:r>
    </w:p>
    <w:p>
      <w:pPr>
        <w:spacing w:line="324" w:lineRule="auto" w:after="80"/>
        <w:ind w:left="480" w:hanging="360"/>
      </w:pPr>
      <w:r>
        <w:rPr>
          <w:rFonts w:ascii="宋体" w:hAnsi="宋体" w:eastAsia="宋体"/>
          <w:sz w:val="21"/>
        </w:rPr>
        <w:t>4. 涉及 AI 分析、自动识别、数据治理、质控评分或跨系统深度联动时，应单独列入建设范围、验收指标和风险说明，不宜作为默认能力写入主方案。</w:t>
      </w:r>
    </w:p>
    <w:p>
      <w:pPr>
        <w:pStyle w:val="Heading1"/>
      </w:pPr>
      <w:r>
        <w:t>五、总体架构设计</w:t>
      </w:r>
    </w:p>
    <w:p>
      <w:pPr>
        <w:pStyle w:val="Heading2"/>
      </w:pPr>
      <w:r>
        <w:t>（一）架构设计思路</w:t>
      </w:r>
    </w:p>
    <w:p>
      <w:pPr>
        <w:spacing w:line="360" w:lineRule="auto" w:after="120"/>
        <w:ind w:firstLine="420"/>
      </w:pPr>
      <w:r>
        <w:rPr>
          <w:rFonts w:ascii="宋体" w:hAnsi="宋体" w:eastAsia="宋体"/>
          <w:sz w:val="21"/>
        </w:rPr>
        <w:t>手术示教系统采用“前端采集或业务终端、平台服务、权限与数据管理、院内系统集成、运维支撑”分层设计。前端负责现场业务和信号接入，平台负责业务处理和资源管理，安全与运维层负责账号、日志、备份和故障定位，接口层按医院授权范围与相关系统协同。</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133"/>
            <w:shd w:fill="EAF2F8"/>
            <w:vAlign w:val="center"/>
          </w:tcPr>
          <w:p>
            <w:pPr>
              <w:spacing w:after="0"/>
              <w:jc w:val="center"/>
            </w:pPr>
            <w:r>
              <w:rPr>
                <w:rFonts w:ascii="宋体" w:hAnsi="宋体" w:eastAsia="黑体"/>
                <w:b/>
                <w:sz w:val="20"/>
              </w:rPr>
              <w:t>层级</w:t>
            </w:r>
          </w:p>
        </w:tc>
        <w:tc>
          <w:tcPr>
            <w:tcW w:type="dxa" w:w="3685"/>
            <w:shd w:fill="EAF2F8"/>
            <w:vAlign w:val="center"/>
          </w:tcPr>
          <w:p>
            <w:pPr>
              <w:spacing w:after="0"/>
              <w:jc w:val="center"/>
            </w:pPr>
            <w:r>
              <w:rPr>
                <w:rFonts w:ascii="宋体" w:hAnsi="宋体" w:eastAsia="黑体"/>
                <w:b/>
                <w:sz w:val="20"/>
              </w:rPr>
              <w:t>组成</w:t>
            </w:r>
          </w:p>
        </w:tc>
        <w:tc>
          <w:tcPr>
            <w:tcW w:type="dxa" w:w="4195"/>
            <w:shd w:fill="EAF2F8"/>
            <w:vAlign w:val="center"/>
          </w:tcPr>
          <w:p>
            <w:pPr>
              <w:spacing w:after="0"/>
              <w:jc w:val="center"/>
            </w:pPr>
            <w:r>
              <w:rPr>
                <w:rFonts w:ascii="宋体" w:hAnsi="宋体" w:eastAsia="黑体"/>
                <w:b/>
                <w:sz w:val="20"/>
              </w:rPr>
              <w:t>作用</w:t>
            </w:r>
          </w:p>
        </w:tc>
      </w:tr>
      <w:tr>
        <w:tc>
          <w:tcPr>
            <w:tcW w:type="dxa" w:w="1133"/>
            <w:vAlign w:val="center"/>
          </w:tcPr>
          <w:p>
            <w:pPr>
              <w:spacing w:after="0" w:line="300" w:lineRule="auto"/>
              <w:jc w:val="center"/>
            </w:pPr>
            <w:r>
              <w:rPr>
                <w:rFonts w:ascii="宋体" w:hAnsi="宋体" w:eastAsia="宋体"/>
                <w:sz w:val="19"/>
              </w:rPr>
              <w:t>现场层</w:t>
            </w:r>
          </w:p>
        </w:tc>
        <w:tc>
          <w:tcPr>
            <w:tcW w:type="dxa" w:w="3685"/>
            <w:vAlign w:val="center"/>
          </w:tcPr>
          <w:p>
            <w:pPr>
              <w:spacing w:after="0" w:line="300" w:lineRule="auto"/>
            </w:pPr>
            <w:r>
              <w:rPr>
                <w:rFonts w:ascii="宋体" w:hAnsi="宋体" w:eastAsia="宋体"/>
                <w:sz w:val="19"/>
              </w:rPr>
              <w:t>摄像机、终端、柜体、门禁、显示、音频、采集节点等现场设备。</w:t>
            </w:r>
          </w:p>
        </w:tc>
        <w:tc>
          <w:tcPr>
            <w:tcW w:type="dxa" w:w="4195"/>
            <w:vAlign w:val="center"/>
          </w:tcPr>
          <w:p>
            <w:pPr>
              <w:spacing w:after="0" w:line="300" w:lineRule="auto"/>
            </w:pPr>
            <w:r>
              <w:rPr>
                <w:rFonts w:ascii="宋体" w:hAnsi="宋体" w:eastAsia="宋体"/>
                <w:sz w:val="19"/>
              </w:rPr>
              <w:t>完成现场采集、显示、交互、识别和提示。</w:t>
            </w:r>
          </w:p>
        </w:tc>
      </w:tr>
      <w:tr>
        <w:tc>
          <w:tcPr>
            <w:tcW w:type="dxa" w:w="1133"/>
            <w:vAlign w:val="center"/>
          </w:tcPr>
          <w:p>
            <w:pPr>
              <w:spacing w:after="0" w:line="300" w:lineRule="auto"/>
              <w:jc w:val="center"/>
            </w:pPr>
            <w:r>
              <w:rPr>
                <w:rFonts w:ascii="宋体" w:hAnsi="宋体" w:eastAsia="宋体"/>
                <w:sz w:val="19"/>
              </w:rPr>
              <w:t>平台层</w:t>
            </w:r>
          </w:p>
        </w:tc>
        <w:tc>
          <w:tcPr>
            <w:tcW w:type="dxa" w:w="3685"/>
            <w:vAlign w:val="center"/>
          </w:tcPr>
          <w:p>
            <w:pPr>
              <w:spacing w:after="0" w:line="300" w:lineRule="auto"/>
            </w:pPr>
            <w:r>
              <w:rPr>
                <w:rFonts w:ascii="宋体" w:hAnsi="宋体" w:eastAsia="宋体"/>
                <w:sz w:val="19"/>
              </w:rPr>
              <w:t>业务应用、管理后台、数据库、文件服务、录制服务或会诊服务。</w:t>
            </w:r>
          </w:p>
        </w:tc>
        <w:tc>
          <w:tcPr>
            <w:tcW w:type="dxa" w:w="4195"/>
            <w:vAlign w:val="center"/>
          </w:tcPr>
          <w:p>
            <w:pPr>
              <w:spacing w:after="0" w:line="300" w:lineRule="auto"/>
            </w:pPr>
            <w:r>
              <w:rPr>
                <w:rFonts w:ascii="宋体" w:hAnsi="宋体" w:eastAsia="宋体"/>
                <w:sz w:val="19"/>
              </w:rPr>
              <w:t>完成业务流程、资源管理、权限配置和统计分析。</w:t>
            </w:r>
          </w:p>
        </w:tc>
      </w:tr>
      <w:tr>
        <w:tc>
          <w:tcPr>
            <w:tcW w:type="dxa" w:w="1133"/>
            <w:vAlign w:val="center"/>
          </w:tcPr>
          <w:p>
            <w:pPr>
              <w:spacing w:after="0" w:line="300" w:lineRule="auto"/>
              <w:jc w:val="center"/>
            </w:pPr>
            <w:r>
              <w:rPr>
                <w:rFonts w:ascii="宋体" w:hAnsi="宋体" w:eastAsia="宋体"/>
                <w:sz w:val="19"/>
              </w:rPr>
              <w:t>安全层</w:t>
            </w:r>
          </w:p>
        </w:tc>
        <w:tc>
          <w:tcPr>
            <w:tcW w:type="dxa" w:w="3685"/>
            <w:vAlign w:val="center"/>
          </w:tcPr>
          <w:p>
            <w:pPr>
              <w:spacing w:after="0" w:line="300" w:lineRule="auto"/>
            </w:pPr>
            <w:r>
              <w:rPr>
                <w:rFonts w:ascii="宋体" w:hAnsi="宋体" w:eastAsia="宋体"/>
                <w:sz w:val="19"/>
              </w:rPr>
              <w:t>账号权限、访问控制、日志审计、备份恢复、网络隔离策略。</w:t>
            </w:r>
          </w:p>
        </w:tc>
        <w:tc>
          <w:tcPr>
            <w:tcW w:type="dxa" w:w="4195"/>
            <w:vAlign w:val="center"/>
          </w:tcPr>
          <w:p>
            <w:pPr>
              <w:spacing w:after="0" w:line="300" w:lineRule="auto"/>
            </w:pPr>
            <w:r>
              <w:rPr>
                <w:rFonts w:ascii="宋体" w:hAnsi="宋体" w:eastAsia="宋体"/>
                <w:sz w:val="19"/>
              </w:rPr>
              <w:t>保障系统在医院授权范围内稳定运行。</w:t>
            </w:r>
          </w:p>
        </w:tc>
      </w:tr>
      <w:tr>
        <w:tc>
          <w:tcPr>
            <w:tcW w:type="dxa" w:w="1133"/>
            <w:vAlign w:val="center"/>
          </w:tcPr>
          <w:p>
            <w:pPr>
              <w:spacing w:after="0" w:line="300" w:lineRule="auto"/>
              <w:jc w:val="center"/>
            </w:pPr>
            <w:r>
              <w:rPr>
                <w:rFonts w:ascii="宋体" w:hAnsi="宋体" w:eastAsia="宋体"/>
                <w:sz w:val="19"/>
              </w:rPr>
              <w:t>接口层</w:t>
            </w:r>
          </w:p>
        </w:tc>
        <w:tc>
          <w:tcPr>
            <w:tcW w:type="dxa" w:w="3685"/>
            <w:vAlign w:val="center"/>
          </w:tcPr>
          <w:p>
            <w:pPr>
              <w:spacing w:after="0" w:line="300" w:lineRule="auto"/>
            </w:pPr>
            <w:r>
              <w:rPr>
                <w:rFonts w:ascii="宋体" w:hAnsi="宋体" w:eastAsia="宋体"/>
                <w:sz w:val="19"/>
              </w:rPr>
              <w:t>HIS、EMR、PACS、手麻、门禁、统一认证或院内门户等。</w:t>
            </w:r>
          </w:p>
        </w:tc>
        <w:tc>
          <w:tcPr>
            <w:tcW w:type="dxa" w:w="4195"/>
            <w:vAlign w:val="center"/>
          </w:tcPr>
          <w:p>
            <w:pPr>
              <w:spacing w:after="0" w:line="300" w:lineRule="auto"/>
            </w:pPr>
            <w:r>
              <w:rPr>
                <w:rFonts w:ascii="宋体" w:hAnsi="宋体" w:eastAsia="宋体"/>
                <w:sz w:val="19"/>
              </w:rPr>
              <w:t>按项目必要字段和医院接口条件进行对接。</w:t>
            </w:r>
          </w:p>
        </w:tc>
      </w:tr>
      <w:tr>
        <w:tc>
          <w:tcPr>
            <w:tcW w:type="dxa" w:w="1133"/>
            <w:vAlign w:val="center"/>
          </w:tcPr>
          <w:p>
            <w:pPr>
              <w:spacing w:after="0" w:line="300" w:lineRule="auto"/>
              <w:jc w:val="center"/>
            </w:pPr>
            <w:r>
              <w:rPr>
                <w:rFonts w:ascii="宋体" w:hAnsi="宋体" w:eastAsia="宋体"/>
                <w:sz w:val="19"/>
              </w:rPr>
              <w:t>运维层</w:t>
            </w:r>
          </w:p>
        </w:tc>
        <w:tc>
          <w:tcPr>
            <w:tcW w:type="dxa" w:w="3685"/>
            <w:vAlign w:val="center"/>
          </w:tcPr>
          <w:p>
            <w:pPr>
              <w:spacing w:after="0" w:line="300" w:lineRule="auto"/>
            </w:pPr>
            <w:r>
              <w:rPr>
                <w:rFonts w:ascii="宋体" w:hAnsi="宋体" w:eastAsia="宋体"/>
                <w:sz w:val="19"/>
              </w:rPr>
              <w:t>设备状态、故障记录、配置备份、培训资料、验收资料。</w:t>
            </w:r>
          </w:p>
        </w:tc>
        <w:tc>
          <w:tcPr>
            <w:tcW w:type="dxa" w:w="4195"/>
            <w:vAlign w:val="center"/>
          </w:tcPr>
          <w:p>
            <w:pPr>
              <w:spacing w:after="0" w:line="300" w:lineRule="auto"/>
            </w:pPr>
            <w:r>
              <w:rPr>
                <w:rFonts w:ascii="宋体" w:hAnsi="宋体" w:eastAsia="宋体"/>
                <w:sz w:val="19"/>
              </w:rPr>
              <w:t>支撑长期维护、问题追踪和责任界定。</w:t>
            </w:r>
          </w:p>
        </w:tc>
      </w:tr>
    </w:tbl>
    <w:p>
      <w:pPr>
        <w:spacing w:after="40"/>
      </w:pPr>
    </w:p>
    <w:p>
      <w:pPr>
        <w:pStyle w:val="Heading2"/>
      </w:pPr>
      <w:r>
        <w:t>（二）信号与业务流向</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2154"/>
            <w:shd w:fill="EAF2F8"/>
            <w:vAlign w:val="center"/>
          </w:tcPr>
          <w:p>
            <w:pPr>
              <w:spacing w:after="0"/>
              <w:jc w:val="center"/>
            </w:pPr>
            <w:r>
              <w:rPr>
                <w:rFonts w:ascii="宋体" w:hAnsi="宋体" w:eastAsia="黑体"/>
                <w:b/>
                <w:sz w:val="20"/>
              </w:rPr>
              <w:t>对象</w:t>
            </w:r>
          </w:p>
        </w:tc>
        <w:tc>
          <w:tcPr>
            <w:tcW w:type="dxa" w:w="4025"/>
            <w:shd w:fill="EAF2F8"/>
            <w:vAlign w:val="center"/>
          </w:tcPr>
          <w:p>
            <w:pPr>
              <w:spacing w:after="0"/>
              <w:jc w:val="center"/>
            </w:pPr>
            <w:r>
              <w:rPr>
                <w:rFonts w:ascii="宋体" w:hAnsi="宋体" w:eastAsia="黑体"/>
                <w:b/>
                <w:sz w:val="20"/>
              </w:rPr>
              <w:t>流向说明</w:t>
            </w:r>
          </w:p>
        </w:tc>
        <w:tc>
          <w:tcPr>
            <w:tcW w:type="dxa" w:w="2834"/>
            <w:shd w:fill="EAF2F8"/>
            <w:vAlign w:val="center"/>
          </w:tcPr>
          <w:p>
            <w:pPr>
              <w:spacing w:after="0"/>
              <w:jc w:val="center"/>
            </w:pPr>
            <w:r>
              <w:rPr>
                <w:rFonts w:ascii="宋体" w:hAnsi="宋体" w:eastAsia="黑体"/>
                <w:b/>
                <w:sz w:val="20"/>
              </w:rPr>
              <w:t>设计注意事项</w:t>
            </w:r>
          </w:p>
        </w:tc>
      </w:tr>
      <w:tr>
        <w:tc>
          <w:tcPr>
            <w:tcW w:type="dxa" w:w="2154"/>
            <w:vAlign w:val="center"/>
          </w:tcPr>
          <w:p>
            <w:pPr>
              <w:spacing w:after="0" w:line="300" w:lineRule="auto"/>
              <w:jc w:val="center"/>
            </w:pPr>
            <w:r>
              <w:rPr>
                <w:rFonts w:ascii="宋体" w:hAnsi="宋体" w:eastAsia="宋体"/>
                <w:sz w:val="19"/>
              </w:rPr>
              <w:t>手术间信号</w:t>
            </w:r>
          </w:p>
        </w:tc>
        <w:tc>
          <w:tcPr>
            <w:tcW w:type="dxa" w:w="4025"/>
            <w:vAlign w:val="center"/>
          </w:tcPr>
          <w:p>
            <w:pPr>
              <w:spacing w:after="0" w:line="300" w:lineRule="auto"/>
            </w:pPr>
            <w:r>
              <w:rPr>
                <w:rFonts w:ascii="宋体" w:hAnsi="宋体" w:eastAsia="宋体"/>
                <w:sz w:val="19"/>
              </w:rPr>
              <w:t>术野、腔镜、全景、监护或课件画面进入导播/录播流程。</w:t>
            </w:r>
          </w:p>
        </w:tc>
        <w:tc>
          <w:tcPr>
            <w:tcW w:type="dxa" w:w="2834"/>
            <w:vAlign w:val="center"/>
          </w:tcPr>
          <w:p>
            <w:pPr>
              <w:spacing w:after="0" w:line="300" w:lineRule="auto"/>
            </w:pPr>
            <w:r>
              <w:rPr>
                <w:rFonts w:ascii="宋体" w:hAnsi="宋体" w:eastAsia="宋体"/>
                <w:sz w:val="19"/>
              </w:rPr>
              <w:t>按主讲画面、辅助画面和备用画面确定布局。</w:t>
            </w:r>
          </w:p>
        </w:tc>
      </w:tr>
      <w:tr>
        <w:tc>
          <w:tcPr>
            <w:tcW w:type="dxa" w:w="2154"/>
            <w:vAlign w:val="center"/>
          </w:tcPr>
          <w:p>
            <w:pPr>
              <w:spacing w:after="0" w:line="300" w:lineRule="auto"/>
              <w:jc w:val="center"/>
            </w:pPr>
            <w:r>
              <w:rPr>
                <w:rFonts w:ascii="宋体" w:hAnsi="宋体" w:eastAsia="宋体"/>
                <w:sz w:val="19"/>
              </w:rPr>
              <w:t>示教室显示</w:t>
            </w:r>
          </w:p>
        </w:tc>
        <w:tc>
          <w:tcPr>
            <w:tcW w:type="dxa" w:w="4025"/>
            <w:vAlign w:val="center"/>
          </w:tcPr>
          <w:p>
            <w:pPr>
              <w:spacing w:after="0" w:line="300" w:lineRule="auto"/>
            </w:pPr>
            <w:r>
              <w:rPr>
                <w:rFonts w:ascii="宋体" w:hAnsi="宋体" w:eastAsia="宋体"/>
                <w:sz w:val="19"/>
              </w:rPr>
              <w:t>示教大屏、教师机、学员端或会议终端接收直播画面。</w:t>
            </w:r>
          </w:p>
        </w:tc>
        <w:tc>
          <w:tcPr>
            <w:tcW w:type="dxa" w:w="2834"/>
            <w:vAlign w:val="center"/>
          </w:tcPr>
          <w:p>
            <w:pPr>
              <w:spacing w:after="0" w:line="300" w:lineRule="auto"/>
            </w:pPr>
            <w:r>
              <w:rPr>
                <w:rFonts w:ascii="宋体" w:hAnsi="宋体" w:eastAsia="宋体"/>
                <w:sz w:val="19"/>
              </w:rPr>
              <w:t>确认分辨率、音频回传、互动问答和延迟要求。</w:t>
            </w:r>
          </w:p>
        </w:tc>
      </w:tr>
      <w:tr>
        <w:tc>
          <w:tcPr>
            <w:tcW w:type="dxa" w:w="2154"/>
            <w:vAlign w:val="center"/>
          </w:tcPr>
          <w:p>
            <w:pPr>
              <w:spacing w:after="0" w:line="300" w:lineRule="auto"/>
              <w:jc w:val="center"/>
            </w:pPr>
            <w:r>
              <w:rPr>
                <w:rFonts w:ascii="宋体" w:hAnsi="宋体" w:eastAsia="宋体"/>
                <w:sz w:val="19"/>
              </w:rPr>
              <w:t>录播与资源库</w:t>
            </w:r>
          </w:p>
        </w:tc>
        <w:tc>
          <w:tcPr>
            <w:tcW w:type="dxa" w:w="4025"/>
            <w:vAlign w:val="center"/>
          </w:tcPr>
          <w:p>
            <w:pPr>
              <w:spacing w:after="0" w:line="300" w:lineRule="auto"/>
            </w:pPr>
            <w:r>
              <w:rPr>
                <w:rFonts w:ascii="宋体" w:hAnsi="宋体" w:eastAsia="宋体"/>
                <w:sz w:val="19"/>
              </w:rPr>
              <w:t>课程录像、截图、课件和标签进入资源管理。</w:t>
            </w:r>
          </w:p>
        </w:tc>
        <w:tc>
          <w:tcPr>
            <w:tcW w:type="dxa" w:w="2834"/>
            <w:vAlign w:val="center"/>
          </w:tcPr>
          <w:p>
            <w:pPr>
              <w:spacing w:after="0" w:line="300" w:lineRule="auto"/>
            </w:pPr>
            <w:r>
              <w:rPr>
                <w:rFonts w:ascii="宋体" w:hAnsi="宋体" w:eastAsia="宋体"/>
                <w:sz w:val="19"/>
              </w:rPr>
              <w:t>按课程审核、脱敏、下载和归档周期管理。</w:t>
            </w:r>
          </w:p>
        </w:tc>
      </w:tr>
      <w:tr>
        <w:tc>
          <w:tcPr>
            <w:tcW w:type="dxa" w:w="2154"/>
            <w:vAlign w:val="center"/>
          </w:tcPr>
          <w:p>
            <w:pPr>
              <w:spacing w:after="0" w:line="300" w:lineRule="auto"/>
              <w:jc w:val="center"/>
            </w:pPr>
            <w:r>
              <w:rPr>
                <w:rFonts w:ascii="宋体" w:hAnsi="宋体" w:eastAsia="宋体"/>
                <w:sz w:val="19"/>
              </w:rPr>
              <w:t>远程观摩</w:t>
            </w:r>
          </w:p>
        </w:tc>
        <w:tc>
          <w:tcPr>
            <w:tcW w:type="dxa" w:w="4025"/>
            <w:vAlign w:val="center"/>
          </w:tcPr>
          <w:p>
            <w:pPr>
              <w:spacing w:after="0" w:line="300" w:lineRule="auto"/>
            </w:pPr>
            <w:r>
              <w:rPr>
                <w:rFonts w:ascii="宋体" w:hAnsi="宋体" w:eastAsia="宋体"/>
                <w:sz w:val="19"/>
              </w:rPr>
              <w:t>授权外部专家或学员在限定时段观看。</w:t>
            </w:r>
          </w:p>
        </w:tc>
        <w:tc>
          <w:tcPr>
            <w:tcW w:type="dxa" w:w="2834"/>
            <w:vAlign w:val="center"/>
          </w:tcPr>
          <w:p>
            <w:pPr>
              <w:spacing w:after="0" w:line="300" w:lineRule="auto"/>
            </w:pPr>
            <w:r>
              <w:rPr>
                <w:rFonts w:ascii="宋体" w:hAnsi="宋体" w:eastAsia="宋体"/>
                <w:sz w:val="19"/>
              </w:rPr>
              <w:t>需要账号、会议码、水印、日志和外网安全策略。</w:t>
            </w:r>
          </w:p>
        </w:tc>
      </w:tr>
    </w:tbl>
    <w:p>
      <w:pPr>
        <w:spacing w:after="40"/>
      </w:pPr>
    </w:p>
    <w:p>
      <w:pPr>
        <w:pStyle w:val="Heading2"/>
      </w:pPr>
      <w:r>
        <w:t>（三）业务流程</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680"/>
            <w:shd w:fill="EAF2F8"/>
            <w:vAlign w:val="center"/>
          </w:tcPr>
          <w:p>
            <w:pPr>
              <w:spacing w:after="0"/>
              <w:jc w:val="center"/>
            </w:pPr>
            <w:r>
              <w:rPr>
                <w:rFonts w:ascii="宋体" w:hAnsi="宋体" w:eastAsia="黑体"/>
                <w:b/>
                <w:sz w:val="20"/>
              </w:rPr>
              <w:t>步骤</w:t>
            </w:r>
          </w:p>
        </w:tc>
        <w:tc>
          <w:tcPr>
            <w:tcW w:type="dxa" w:w="2948"/>
            <w:shd w:fill="EAF2F8"/>
            <w:vAlign w:val="center"/>
          </w:tcPr>
          <w:p>
            <w:pPr>
              <w:spacing w:after="0"/>
              <w:jc w:val="center"/>
            </w:pPr>
            <w:r>
              <w:rPr>
                <w:rFonts w:ascii="宋体" w:hAnsi="宋体" w:eastAsia="黑体"/>
                <w:b/>
                <w:sz w:val="20"/>
              </w:rPr>
              <w:t>流程节点</w:t>
            </w:r>
          </w:p>
        </w:tc>
        <w:tc>
          <w:tcPr>
            <w:tcW w:type="dxa" w:w="5385"/>
            <w:shd w:fill="EAF2F8"/>
            <w:vAlign w:val="center"/>
          </w:tcPr>
          <w:p>
            <w:pPr>
              <w:spacing w:after="0"/>
              <w:jc w:val="center"/>
            </w:pPr>
            <w:r>
              <w:rPr>
                <w:rFonts w:ascii="宋体" w:hAnsi="宋体" w:eastAsia="黑体"/>
                <w:b/>
                <w:sz w:val="20"/>
              </w:rPr>
              <w:t>说明</w:t>
            </w:r>
          </w:p>
        </w:tc>
      </w:tr>
      <w:tr>
        <w:tc>
          <w:tcPr>
            <w:tcW w:type="dxa" w:w="680"/>
            <w:vAlign w:val="center"/>
          </w:tcPr>
          <w:p>
            <w:pPr>
              <w:spacing w:after="0" w:line="300" w:lineRule="auto"/>
              <w:jc w:val="center"/>
            </w:pPr>
            <w:r>
              <w:rPr>
                <w:rFonts w:ascii="宋体" w:hAnsi="宋体" w:eastAsia="宋体"/>
                <w:sz w:val="19"/>
              </w:rPr>
              <w:t>1</w:t>
            </w:r>
          </w:p>
        </w:tc>
        <w:tc>
          <w:tcPr>
            <w:tcW w:type="dxa" w:w="2948"/>
            <w:vAlign w:val="center"/>
          </w:tcPr>
          <w:p>
            <w:pPr>
              <w:spacing w:after="0" w:line="300" w:lineRule="auto"/>
            </w:pPr>
            <w:r>
              <w:rPr>
                <w:rFonts w:ascii="宋体" w:hAnsi="宋体" w:eastAsia="宋体"/>
                <w:sz w:val="19"/>
              </w:rPr>
              <w:t>课程申请与手术确认</w:t>
            </w:r>
          </w:p>
        </w:tc>
        <w:tc>
          <w:tcPr>
            <w:tcW w:type="dxa" w:w="5385"/>
            <w:vAlign w:val="center"/>
          </w:tcPr>
          <w:p>
            <w:pPr>
              <w:spacing w:after="0" w:line="300" w:lineRule="auto"/>
            </w:pPr>
            <w:r>
              <w:rPr>
                <w:rFonts w:ascii="宋体" w:hAnsi="宋体" w:eastAsia="宋体"/>
                <w:sz w:val="19"/>
              </w:rPr>
              <w:t>围绕“课程申请与手术确认”形成可操作、可记录、可追溯的业务环节，具体表单、字段和责任人由医院确认。</w:t>
            </w:r>
          </w:p>
        </w:tc>
      </w:tr>
      <w:tr>
        <w:tc>
          <w:tcPr>
            <w:tcW w:type="dxa" w:w="680"/>
            <w:vAlign w:val="center"/>
          </w:tcPr>
          <w:p>
            <w:pPr>
              <w:spacing w:after="0" w:line="300" w:lineRule="auto"/>
              <w:jc w:val="center"/>
            </w:pPr>
            <w:r>
              <w:rPr>
                <w:rFonts w:ascii="宋体" w:hAnsi="宋体" w:eastAsia="宋体"/>
                <w:sz w:val="19"/>
              </w:rPr>
              <w:t>2</w:t>
            </w:r>
          </w:p>
        </w:tc>
        <w:tc>
          <w:tcPr>
            <w:tcW w:type="dxa" w:w="2948"/>
            <w:vAlign w:val="center"/>
          </w:tcPr>
          <w:p>
            <w:pPr>
              <w:spacing w:after="0" w:line="300" w:lineRule="auto"/>
            </w:pPr>
            <w:r>
              <w:rPr>
                <w:rFonts w:ascii="宋体" w:hAnsi="宋体" w:eastAsia="宋体"/>
                <w:sz w:val="19"/>
              </w:rPr>
              <w:t>术前画面和音频测试</w:t>
            </w:r>
          </w:p>
        </w:tc>
        <w:tc>
          <w:tcPr>
            <w:tcW w:type="dxa" w:w="5385"/>
            <w:vAlign w:val="center"/>
          </w:tcPr>
          <w:p>
            <w:pPr>
              <w:spacing w:after="0" w:line="300" w:lineRule="auto"/>
            </w:pPr>
            <w:r>
              <w:rPr>
                <w:rFonts w:ascii="宋体" w:hAnsi="宋体" w:eastAsia="宋体"/>
                <w:sz w:val="19"/>
              </w:rPr>
              <w:t>围绕“术前画面和音频测试”形成可操作、可记录、可追溯的业务环节，具体表单、字段和责任人由医院确认。</w:t>
            </w:r>
          </w:p>
        </w:tc>
      </w:tr>
      <w:tr>
        <w:tc>
          <w:tcPr>
            <w:tcW w:type="dxa" w:w="680"/>
            <w:vAlign w:val="center"/>
          </w:tcPr>
          <w:p>
            <w:pPr>
              <w:spacing w:after="0" w:line="300" w:lineRule="auto"/>
              <w:jc w:val="center"/>
            </w:pPr>
            <w:r>
              <w:rPr>
                <w:rFonts w:ascii="宋体" w:hAnsi="宋体" w:eastAsia="宋体"/>
                <w:sz w:val="19"/>
              </w:rPr>
              <w:t>3</w:t>
            </w:r>
          </w:p>
        </w:tc>
        <w:tc>
          <w:tcPr>
            <w:tcW w:type="dxa" w:w="2948"/>
            <w:vAlign w:val="center"/>
          </w:tcPr>
          <w:p>
            <w:pPr>
              <w:spacing w:after="0" w:line="300" w:lineRule="auto"/>
            </w:pPr>
            <w:r>
              <w:rPr>
                <w:rFonts w:ascii="宋体" w:hAnsi="宋体" w:eastAsia="宋体"/>
                <w:sz w:val="19"/>
              </w:rPr>
              <w:t>直播或录播授权</w:t>
            </w:r>
          </w:p>
        </w:tc>
        <w:tc>
          <w:tcPr>
            <w:tcW w:type="dxa" w:w="5385"/>
            <w:vAlign w:val="center"/>
          </w:tcPr>
          <w:p>
            <w:pPr>
              <w:spacing w:after="0" w:line="300" w:lineRule="auto"/>
            </w:pPr>
            <w:r>
              <w:rPr>
                <w:rFonts w:ascii="宋体" w:hAnsi="宋体" w:eastAsia="宋体"/>
                <w:sz w:val="19"/>
              </w:rPr>
              <w:t>围绕“直播或录播授权”形成可操作、可记录、可追溯的业务环节，具体表单、字段和责任人由医院确认。</w:t>
            </w:r>
          </w:p>
        </w:tc>
      </w:tr>
      <w:tr>
        <w:tc>
          <w:tcPr>
            <w:tcW w:type="dxa" w:w="680"/>
            <w:vAlign w:val="center"/>
          </w:tcPr>
          <w:p>
            <w:pPr>
              <w:spacing w:after="0" w:line="300" w:lineRule="auto"/>
              <w:jc w:val="center"/>
            </w:pPr>
            <w:r>
              <w:rPr>
                <w:rFonts w:ascii="宋体" w:hAnsi="宋体" w:eastAsia="宋体"/>
                <w:sz w:val="19"/>
              </w:rPr>
              <w:t>4</w:t>
            </w:r>
          </w:p>
        </w:tc>
        <w:tc>
          <w:tcPr>
            <w:tcW w:type="dxa" w:w="2948"/>
            <w:vAlign w:val="center"/>
          </w:tcPr>
          <w:p>
            <w:pPr>
              <w:spacing w:after="0" w:line="300" w:lineRule="auto"/>
            </w:pPr>
            <w:r>
              <w:rPr>
                <w:rFonts w:ascii="宋体" w:hAnsi="宋体" w:eastAsia="宋体"/>
                <w:sz w:val="19"/>
              </w:rPr>
              <w:t>示教室观看和互动</w:t>
            </w:r>
          </w:p>
        </w:tc>
        <w:tc>
          <w:tcPr>
            <w:tcW w:type="dxa" w:w="5385"/>
            <w:vAlign w:val="center"/>
          </w:tcPr>
          <w:p>
            <w:pPr>
              <w:spacing w:after="0" w:line="300" w:lineRule="auto"/>
            </w:pPr>
            <w:r>
              <w:rPr>
                <w:rFonts w:ascii="宋体" w:hAnsi="宋体" w:eastAsia="宋体"/>
                <w:sz w:val="19"/>
              </w:rPr>
              <w:t>围绕“示教室观看和互动”形成可操作、可记录、可追溯的业务环节，具体表单、字段和责任人由医院确认。</w:t>
            </w:r>
          </w:p>
        </w:tc>
      </w:tr>
      <w:tr>
        <w:tc>
          <w:tcPr>
            <w:tcW w:type="dxa" w:w="680"/>
            <w:vAlign w:val="center"/>
          </w:tcPr>
          <w:p>
            <w:pPr>
              <w:spacing w:after="0" w:line="300" w:lineRule="auto"/>
              <w:jc w:val="center"/>
            </w:pPr>
            <w:r>
              <w:rPr>
                <w:rFonts w:ascii="宋体" w:hAnsi="宋体" w:eastAsia="宋体"/>
                <w:sz w:val="19"/>
              </w:rPr>
              <w:t>5</w:t>
            </w:r>
          </w:p>
        </w:tc>
        <w:tc>
          <w:tcPr>
            <w:tcW w:type="dxa" w:w="2948"/>
            <w:vAlign w:val="center"/>
          </w:tcPr>
          <w:p>
            <w:pPr>
              <w:spacing w:after="0" w:line="300" w:lineRule="auto"/>
            </w:pPr>
            <w:r>
              <w:rPr>
                <w:rFonts w:ascii="宋体" w:hAnsi="宋体" w:eastAsia="宋体"/>
                <w:sz w:val="19"/>
              </w:rPr>
              <w:t>术后资料归档</w:t>
            </w:r>
          </w:p>
        </w:tc>
        <w:tc>
          <w:tcPr>
            <w:tcW w:type="dxa" w:w="5385"/>
            <w:vAlign w:val="center"/>
          </w:tcPr>
          <w:p>
            <w:pPr>
              <w:spacing w:after="0" w:line="300" w:lineRule="auto"/>
            </w:pPr>
            <w:r>
              <w:rPr>
                <w:rFonts w:ascii="宋体" w:hAnsi="宋体" w:eastAsia="宋体"/>
                <w:sz w:val="19"/>
              </w:rPr>
              <w:t>围绕“术后资料归档”形成可操作、可记录、可追溯的业务环节，具体表单、字段和责任人由医院确认。</w:t>
            </w:r>
          </w:p>
        </w:tc>
      </w:tr>
      <w:tr>
        <w:tc>
          <w:tcPr>
            <w:tcW w:type="dxa" w:w="680"/>
            <w:vAlign w:val="center"/>
          </w:tcPr>
          <w:p>
            <w:pPr>
              <w:spacing w:after="0" w:line="300" w:lineRule="auto"/>
              <w:jc w:val="center"/>
            </w:pPr>
            <w:r>
              <w:rPr>
                <w:rFonts w:ascii="宋体" w:hAnsi="宋体" w:eastAsia="宋体"/>
                <w:sz w:val="19"/>
              </w:rPr>
              <w:t>6</w:t>
            </w:r>
          </w:p>
        </w:tc>
        <w:tc>
          <w:tcPr>
            <w:tcW w:type="dxa" w:w="2948"/>
            <w:vAlign w:val="center"/>
          </w:tcPr>
          <w:p>
            <w:pPr>
              <w:spacing w:after="0" w:line="300" w:lineRule="auto"/>
            </w:pPr>
            <w:r>
              <w:rPr>
                <w:rFonts w:ascii="宋体" w:hAnsi="宋体" w:eastAsia="宋体"/>
                <w:sz w:val="19"/>
              </w:rPr>
              <w:t>课程回看和权限维护</w:t>
            </w:r>
          </w:p>
        </w:tc>
        <w:tc>
          <w:tcPr>
            <w:tcW w:type="dxa" w:w="5385"/>
            <w:vAlign w:val="center"/>
          </w:tcPr>
          <w:p>
            <w:pPr>
              <w:spacing w:after="0" w:line="300" w:lineRule="auto"/>
            </w:pPr>
            <w:r>
              <w:rPr>
                <w:rFonts w:ascii="宋体" w:hAnsi="宋体" w:eastAsia="宋体"/>
                <w:sz w:val="19"/>
              </w:rPr>
              <w:t>围绕“课程回看和权限维护”形成可操作、可记录、可追溯的业务环节，具体表单、字段和责任人由医院确认。</w:t>
            </w:r>
          </w:p>
        </w:tc>
      </w:tr>
    </w:tbl>
    <w:p>
      <w:pPr>
        <w:spacing w:after="40"/>
      </w:pPr>
    </w:p>
    <w:p>
      <w:pPr>
        <w:pStyle w:val="Heading1"/>
      </w:pPr>
      <w:r>
        <w:t>六、系统功能设计</w:t>
      </w:r>
    </w:p>
    <w:p>
      <w:pPr>
        <w:pStyle w:val="Heading2"/>
      </w:pPr>
      <w:r>
        <w:t>（一）功能模块</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2154"/>
            <w:shd w:fill="EAF2F8"/>
            <w:vAlign w:val="center"/>
          </w:tcPr>
          <w:p>
            <w:pPr>
              <w:spacing w:after="0"/>
              <w:jc w:val="center"/>
            </w:pPr>
            <w:r>
              <w:rPr>
                <w:rFonts w:ascii="宋体" w:hAnsi="宋体" w:eastAsia="黑体"/>
                <w:b/>
                <w:sz w:val="20"/>
              </w:rPr>
              <w:t>模块</w:t>
            </w:r>
          </w:p>
        </w:tc>
        <w:tc>
          <w:tcPr>
            <w:tcW w:type="dxa" w:w="3968"/>
            <w:shd w:fill="EAF2F8"/>
            <w:vAlign w:val="center"/>
          </w:tcPr>
          <w:p>
            <w:pPr>
              <w:spacing w:after="0"/>
              <w:jc w:val="center"/>
            </w:pPr>
            <w:r>
              <w:rPr>
                <w:rFonts w:ascii="宋体" w:hAnsi="宋体" w:eastAsia="黑体"/>
                <w:b/>
                <w:sz w:val="20"/>
              </w:rPr>
              <w:t>功能说明</w:t>
            </w:r>
          </w:p>
        </w:tc>
        <w:tc>
          <w:tcPr>
            <w:tcW w:type="dxa" w:w="2891"/>
            <w:shd w:fill="EAF2F8"/>
            <w:vAlign w:val="center"/>
          </w:tcPr>
          <w:p>
            <w:pPr>
              <w:spacing w:after="0"/>
              <w:jc w:val="center"/>
            </w:pPr>
            <w:r>
              <w:rPr>
                <w:rFonts w:ascii="宋体" w:hAnsi="宋体" w:eastAsia="黑体"/>
                <w:b/>
                <w:sz w:val="20"/>
              </w:rPr>
              <w:t>投标响应要点</w:t>
            </w:r>
          </w:p>
        </w:tc>
      </w:tr>
      <w:tr>
        <w:tc>
          <w:tcPr>
            <w:tcW w:type="dxa" w:w="2154"/>
            <w:vAlign w:val="center"/>
          </w:tcPr>
          <w:p>
            <w:pPr>
              <w:spacing w:after="0" w:line="300" w:lineRule="auto"/>
              <w:jc w:val="center"/>
            </w:pPr>
            <w:r>
              <w:rPr>
                <w:rFonts w:ascii="宋体" w:hAnsi="宋体" w:eastAsia="宋体"/>
                <w:sz w:val="19"/>
              </w:rPr>
              <w:t>术野与全景采集</w:t>
            </w:r>
          </w:p>
        </w:tc>
        <w:tc>
          <w:tcPr>
            <w:tcW w:type="dxa" w:w="3968"/>
            <w:vAlign w:val="center"/>
          </w:tcPr>
          <w:p>
            <w:pPr>
              <w:spacing w:after="0" w:line="300" w:lineRule="auto"/>
            </w:pPr>
            <w:r>
              <w:rPr>
                <w:rFonts w:ascii="宋体" w:hAnsi="宋体" w:eastAsia="宋体"/>
                <w:sz w:val="19"/>
              </w:rPr>
              <w:t>采集手术操作细节和手术间流程环境，形成互补视角。</w:t>
            </w:r>
          </w:p>
        </w:tc>
        <w:tc>
          <w:tcPr>
            <w:tcW w:type="dxa" w:w="2891"/>
            <w:vAlign w:val="center"/>
          </w:tcPr>
          <w:p>
            <w:pPr>
              <w:spacing w:after="0" w:line="300" w:lineRule="auto"/>
            </w:pPr>
            <w:r>
              <w:rPr>
                <w:rFonts w:ascii="宋体" w:hAnsi="宋体" w:eastAsia="宋体"/>
                <w:sz w:val="19"/>
              </w:rPr>
              <w:t>结合手术示教系统现场流程配置，支持后续扩展和维护。</w:t>
            </w:r>
          </w:p>
        </w:tc>
      </w:tr>
      <w:tr>
        <w:tc>
          <w:tcPr>
            <w:tcW w:type="dxa" w:w="2154"/>
            <w:vAlign w:val="center"/>
          </w:tcPr>
          <w:p>
            <w:pPr>
              <w:spacing w:after="0" w:line="300" w:lineRule="auto"/>
              <w:jc w:val="center"/>
            </w:pPr>
            <w:r>
              <w:rPr>
                <w:rFonts w:ascii="宋体" w:hAnsi="宋体" w:eastAsia="宋体"/>
                <w:sz w:val="19"/>
              </w:rPr>
              <w:t>腔镜信号接入</w:t>
            </w:r>
          </w:p>
        </w:tc>
        <w:tc>
          <w:tcPr>
            <w:tcW w:type="dxa" w:w="3968"/>
            <w:vAlign w:val="center"/>
          </w:tcPr>
          <w:p>
            <w:pPr>
              <w:spacing w:after="0" w:line="300" w:lineRule="auto"/>
            </w:pPr>
            <w:r>
              <w:rPr>
                <w:rFonts w:ascii="宋体" w:hAnsi="宋体" w:eastAsia="宋体"/>
                <w:sz w:val="19"/>
              </w:rPr>
              <w:t>通过采集卡、编码器或矩阵节点接入腔镜原始输出。</w:t>
            </w:r>
          </w:p>
        </w:tc>
        <w:tc>
          <w:tcPr>
            <w:tcW w:type="dxa" w:w="2891"/>
            <w:vAlign w:val="center"/>
          </w:tcPr>
          <w:p>
            <w:pPr>
              <w:spacing w:after="0" w:line="300" w:lineRule="auto"/>
            </w:pPr>
            <w:r>
              <w:rPr>
                <w:rFonts w:ascii="宋体" w:hAnsi="宋体" w:eastAsia="宋体"/>
                <w:sz w:val="19"/>
              </w:rPr>
              <w:t>结合手术示教系统现场流程配置，支持后续扩展和维护。</w:t>
            </w:r>
          </w:p>
        </w:tc>
      </w:tr>
      <w:tr>
        <w:tc>
          <w:tcPr>
            <w:tcW w:type="dxa" w:w="2154"/>
            <w:vAlign w:val="center"/>
          </w:tcPr>
          <w:p>
            <w:pPr>
              <w:spacing w:after="0" w:line="300" w:lineRule="auto"/>
              <w:jc w:val="center"/>
            </w:pPr>
            <w:r>
              <w:rPr>
                <w:rFonts w:ascii="宋体" w:hAnsi="宋体" w:eastAsia="宋体"/>
                <w:sz w:val="19"/>
              </w:rPr>
              <w:t>音频互动</w:t>
            </w:r>
          </w:p>
        </w:tc>
        <w:tc>
          <w:tcPr>
            <w:tcW w:type="dxa" w:w="3968"/>
            <w:vAlign w:val="center"/>
          </w:tcPr>
          <w:p>
            <w:pPr>
              <w:spacing w:after="0" w:line="300" w:lineRule="auto"/>
            </w:pPr>
            <w:r>
              <w:rPr>
                <w:rFonts w:ascii="宋体" w:hAnsi="宋体" w:eastAsia="宋体"/>
                <w:sz w:val="19"/>
              </w:rPr>
              <w:t>支持术者讲解、示教室提问、专家发言和回声抑制。</w:t>
            </w:r>
          </w:p>
        </w:tc>
        <w:tc>
          <w:tcPr>
            <w:tcW w:type="dxa" w:w="2891"/>
            <w:vAlign w:val="center"/>
          </w:tcPr>
          <w:p>
            <w:pPr>
              <w:spacing w:after="0" w:line="300" w:lineRule="auto"/>
            </w:pPr>
            <w:r>
              <w:rPr>
                <w:rFonts w:ascii="宋体" w:hAnsi="宋体" w:eastAsia="宋体"/>
                <w:sz w:val="19"/>
              </w:rPr>
              <w:t>结合手术示教系统现场流程配置，支持后续扩展和维护。</w:t>
            </w:r>
          </w:p>
        </w:tc>
      </w:tr>
      <w:tr>
        <w:tc>
          <w:tcPr>
            <w:tcW w:type="dxa" w:w="2154"/>
            <w:vAlign w:val="center"/>
          </w:tcPr>
          <w:p>
            <w:pPr>
              <w:spacing w:after="0" w:line="300" w:lineRule="auto"/>
              <w:jc w:val="center"/>
            </w:pPr>
            <w:r>
              <w:rPr>
                <w:rFonts w:ascii="宋体" w:hAnsi="宋体" w:eastAsia="宋体"/>
                <w:sz w:val="19"/>
              </w:rPr>
              <w:t>直播录播</w:t>
            </w:r>
          </w:p>
        </w:tc>
        <w:tc>
          <w:tcPr>
            <w:tcW w:type="dxa" w:w="3968"/>
            <w:vAlign w:val="center"/>
          </w:tcPr>
          <w:p>
            <w:pPr>
              <w:spacing w:after="0" w:line="300" w:lineRule="auto"/>
            </w:pPr>
            <w:r>
              <w:rPr>
                <w:rFonts w:ascii="宋体" w:hAnsi="宋体" w:eastAsia="宋体"/>
                <w:sz w:val="19"/>
              </w:rPr>
              <w:t>支持多路画面组合、同步录制、课程回看和资源管理。</w:t>
            </w:r>
          </w:p>
        </w:tc>
        <w:tc>
          <w:tcPr>
            <w:tcW w:type="dxa" w:w="2891"/>
            <w:vAlign w:val="center"/>
          </w:tcPr>
          <w:p>
            <w:pPr>
              <w:spacing w:after="0" w:line="300" w:lineRule="auto"/>
            </w:pPr>
            <w:r>
              <w:rPr>
                <w:rFonts w:ascii="宋体" w:hAnsi="宋体" w:eastAsia="宋体"/>
                <w:sz w:val="19"/>
              </w:rPr>
              <w:t>明确保存周期、访问权限、存储容量和删除规则。</w:t>
            </w:r>
          </w:p>
        </w:tc>
      </w:tr>
      <w:tr>
        <w:tc>
          <w:tcPr>
            <w:tcW w:type="dxa" w:w="2154"/>
            <w:vAlign w:val="center"/>
          </w:tcPr>
          <w:p>
            <w:pPr>
              <w:spacing w:after="0" w:line="300" w:lineRule="auto"/>
              <w:jc w:val="center"/>
            </w:pPr>
            <w:r>
              <w:rPr>
                <w:rFonts w:ascii="宋体" w:hAnsi="宋体" w:eastAsia="宋体"/>
                <w:sz w:val="19"/>
              </w:rPr>
              <w:t>教学管理</w:t>
            </w:r>
          </w:p>
        </w:tc>
        <w:tc>
          <w:tcPr>
            <w:tcW w:type="dxa" w:w="3968"/>
            <w:vAlign w:val="center"/>
          </w:tcPr>
          <w:p>
            <w:pPr>
              <w:spacing w:after="0" w:line="300" w:lineRule="auto"/>
            </w:pPr>
            <w:r>
              <w:rPr>
                <w:rFonts w:ascii="宋体" w:hAnsi="宋体" w:eastAsia="宋体"/>
                <w:sz w:val="19"/>
              </w:rPr>
              <w:t>按课程、科室、病例、讲师和学员配置观看和回看权限。</w:t>
            </w:r>
          </w:p>
        </w:tc>
        <w:tc>
          <w:tcPr>
            <w:tcW w:type="dxa" w:w="2891"/>
            <w:vAlign w:val="center"/>
          </w:tcPr>
          <w:p>
            <w:pPr>
              <w:spacing w:after="0" w:line="300" w:lineRule="auto"/>
            </w:pPr>
            <w:r>
              <w:rPr>
                <w:rFonts w:ascii="宋体" w:hAnsi="宋体" w:eastAsia="宋体"/>
                <w:sz w:val="19"/>
              </w:rPr>
              <w:t>结合手术示教系统现场流程配置，支持后续扩展和维护。</w:t>
            </w:r>
          </w:p>
        </w:tc>
      </w:tr>
      <w:tr>
        <w:tc>
          <w:tcPr>
            <w:tcW w:type="dxa" w:w="2154"/>
            <w:vAlign w:val="center"/>
          </w:tcPr>
          <w:p>
            <w:pPr>
              <w:spacing w:after="0" w:line="300" w:lineRule="auto"/>
              <w:jc w:val="center"/>
            </w:pPr>
            <w:r>
              <w:rPr>
                <w:rFonts w:ascii="宋体" w:hAnsi="宋体" w:eastAsia="宋体"/>
                <w:sz w:val="19"/>
              </w:rPr>
              <w:t>远程接入</w:t>
            </w:r>
          </w:p>
        </w:tc>
        <w:tc>
          <w:tcPr>
            <w:tcW w:type="dxa" w:w="3968"/>
            <w:vAlign w:val="center"/>
          </w:tcPr>
          <w:p>
            <w:pPr>
              <w:spacing w:after="0" w:line="300" w:lineRule="auto"/>
            </w:pPr>
            <w:r>
              <w:rPr>
                <w:rFonts w:ascii="宋体" w:hAnsi="宋体" w:eastAsia="宋体"/>
                <w:sz w:val="19"/>
              </w:rPr>
              <w:t>按医院网络策略支持远程专家或合作单位受控观看。</w:t>
            </w:r>
          </w:p>
        </w:tc>
        <w:tc>
          <w:tcPr>
            <w:tcW w:type="dxa" w:w="2891"/>
            <w:vAlign w:val="center"/>
          </w:tcPr>
          <w:p>
            <w:pPr>
              <w:spacing w:after="0" w:line="300" w:lineRule="auto"/>
            </w:pPr>
            <w:r>
              <w:rPr>
                <w:rFonts w:ascii="宋体" w:hAnsi="宋体" w:eastAsia="宋体"/>
                <w:sz w:val="19"/>
              </w:rPr>
              <w:t>结合手术示教系统现场流程配置，支持后续扩展和维护。</w:t>
            </w:r>
          </w:p>
        </w:tc>
      </w:tr>
    </w:tbl>
    <w:p>
      <w:pPr>
        <w:spacing w:after="40"/>
      </w:pPr>
    </w:p>
    <w:p>
      <w:pPr>
        <w:pStyle w:val="Heading2"/>
      </w:pPr>
      <w:r>
        <w:t>（二）业务操作步骤</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197"/>
        <w:gridCol w:w="2197"/>
        <w:gridCol w:w="2197"/>
        <w:gridCol w:w="2197"/>
      </w:tblGrid>
      <w:tr>
        <w:tc>
          <w:tcPr>
            <w:tcW w:type="dxa" w:w="623"/>
            <w:shd w:fill="EAF2F8"/>
            <w:vAlign w:val="center"/>
          </w:tcPr>
          <w:p>
            <w:pPr>
              <w:spacing w:after="0"/>
              <w:jc w:val="center"/>
            </w:pPr>
            <w:r>
              <w:rPr>
                <w:rFonts w:ascii="宋体" w:hAnsi="宋体" w:eastAsia="黑体"/>
                <w:b/>
                <w:sz w:val="20"/>
              </w:rPr>
              <w:t>序号</w:t>
            </w:r>
          </w:p>
        </w:tc>
        <w:tc>
          <w:tcPr>
            <w:tcW w:type="dxa" w:w="2381"/>
            <w:shd w:fill="EAF2F8"/>
            <w:vAlign w:val="center"/>
          </w:tcPr>
          <w:p>
            <w:pPr>
              <w:spacing w:after="0"/>
              <w:jc w:val="center"/>
            </w:pPr>
            <w:r>
              <w:rPr>
                <w:rFonts w:ascii="宋体" w:hAnsi="宋体" w:eastAsia="黑体"/>
                <w:b/>
                <w:sz w:val="20"/>
              </w:rPr>
              <w:t>操作环节</w:t>
            </w:r>
          </w:p>
        </w:tc>
        <w:tc>
          <w:tcPr>
            <w:tcW w:type="dxa" w:w="3968"/>
            <w:shd w:fill="EAF2F8"/>
            <w:vAlign w:val="center"/>
          </w:tcPr>
          <w:p>
            <w:pPr>
              <w:spacing w:after="0"/>
              <w:jc w:val="center"/>
            </w:pPr>
            <w:r>
              <w:rPr>
                <w:rFonts w:ascii="宋体" w:hAnsi="宋体" w:eastAsia="黑体"/>
                <w:b/>
                <w:sz w:val="20"/>
              </w:rPr>
              <w:t>操作要点</w:t>
            </w:r>
          </w:p>
        </w:tc>
        <w:tc>
          <w:tcPr>
            <w:tcW w:type="dxa" w:w="2040"/>
            <w:shd w:fill="EAF2F8"/>
            <w:vAlign w:val="center"/>
          </w:tcPr>
          <w:p>
            <w:pPr>
              <w:spacing w:after="0"/>
              <w:jc w:val="center"/>
            </w:pPr>
            <w:r>
              <w:rPr>
                <w:rFonts w:ascii="宋体" w:hAnsi="宋体" w:eastAsia="黑体"/>
                <w:b/>
                <w:sz w:val="20"/>
              </w:rPr>
              <w:t>留痕内容</w:t>
            </w:r>
          </w:p>
        </w:tc>
      </w:tr>
      <w:tr>
        <w:tc>
          <w:tcPr>
            <w:tcW w:type="dxa" w:w="623"/>
            <w:vAlign w:val="center"/>
          </w:tcPr>
          <w:p>
            <w:pPr>
              <w:spacing w:after="0" w:line="300" w:lineRule="auto"/>
            </w:pPr>
            <w:r>
              <w:rPr>
                <w:rFonts w:ascii="宋体" w:hAnsi="宋体" w:eastAsia="宋体"/>
                <w:sz w:val="19"/>
              </w:rPr>
              <w:t>1</w:t>
            </w:r>
          </w:p>
        </w:tc>
        <w:tc>
          <w:tcPr>
            <w:tcW w:type="dxa" w:w="2381"/>
            <w:vAlign w:val="center"/>
          </w:tcPr>
          <w:p>
            <w:pPr>
              <w:spacing w:after="0" w:line="300" w:lineRule="auto"/>
            </w:pPr>
            <w:r>
              <w:rPr>
                <w:rFonts w:ascii="宋体" w:hAnsi="宋体" w:eastAsia="宋体"/>
                <w:sz w:val="19"/>
              </w:rPr>
              <w:t>课程申请与手术确认</w:t>
            </w:r>
          </w:p>
        </w:tc>
        <w:tc>
          <w:tcPr>
            <w:tcW w:type="dxa" w:w="3968"/>
            <w:vAlign w:val="center"/>
          </w:tcPr>
          <w:p>
            <w:pPr>
              <w:spacing w:after="0" w:line="300" w:lineRule="auto"/>
            </w:pPr>
            <w:r>
              <w:rPr>
                <w:rFonts w:ascii="宋体" w:hAnsi="宋体" w:eastAsia="宋体"/>
                <w:sz w:val="19"/>
              </w:rPr>
              <w:t>围绕“课程申请与手术确认”形成可操作、可记录、可追溯的业务环节，具体表单、字段和责任人由医院确认。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r>
        <w:tc>
          <w:tcPr>
            <w:tcW w:type="dxa" w:w="623"/>
            <w:vAlign w:val="center"/>
          </w:tcPr>
          <w:p>
            <w:pPr>
              <w:spacing w:after="0" w:line="300" w:lineRule="auto"/>
            </w:pPr>
            <w:r>
              <w:rPr>
                <w:rFonts w:ascii="宋体" w:hAnsi="宋体" w:eastAsia="宋体"/>
                <w:sz w:val="19"/>
              </w:rPr>
              <w:t>2</w:t>
            </w:r>
          </w:p>
        </w:tc>
        <w:tc>
          <w:tcPr>
            <w:tcW w:type="dxa" w:w="2381"/>
            <w:vAlign w:val="center"/>
          </w:tcPr>
          <w:p>
            <w:pPr>
              <w:spacing w:after="0" w:line="300" w:lineRule="auto"/>
            </w:pPr>
            <w:r>
              <w:rPr>
                <w:rFonts w:ascii="宋体" w:hAnsi="宋体" w:eastAsia="宋体"/>
                <w:sz w:val="19"/>
              </w:rPr>
              <w:t>术前画面和音频测试</w:t>
            </w:r>
          </w:p>
        </w:tc>
        <w:tc>
          <w:tcPr>
            <w:tcW w:type="dxa" w:w="3968"/>
            <w:vAlign w:val="center"/>
          </w:tcPr>
          <w:p>
            <w:pPr>
              <w:spacing w:after="0" w:line="300" w:lineRule="auto"/>
            </w:pPr>
            <w:r>
              <w:rPr>
                <w:rFonts w:ascii="宋体" w:hAnsi="宋体" w:eastAsia="宋体"/>
                <w:sz w:val="19"/>
              </w:rPr>
              <w:t>围绕“术前画面和音频测试”形成可操作、可记录、可追溯的业务环节，具体表单、字段和责任人由医院确认。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r>
        <w:tc>
          <w:tcPr>
            <w:tcW w:type="dxa" w:w="623"/>
            <w:vAlign w:val="center"/>
          </w:tcPr>
          <w:p>
            <w:pPr>
              <w:spacing w:after="0" w:line="300" w:lineRule="auto"/>
            </w:pPr>
            <w:r>
              <w:rPr>
                <w:rFonts w:ascii="宋体" w:hAnsi="宋体" w:eastAsia="宋体"/>
                <w:sz w:val="19"/>
              </w:rPr>
              <w:t>3</w:t>
            </w:r>
          </w:p>
        </w:tc>
        <w:tc>
          <w:tcPr>
            <w:tcW w:type="dxa" w:w="2381"/>
            <w:vAlign w:val="center"/>
          </w:tcPr>
          <w:p>
            <w:pPr>
              <w:spacing w:after="0" w:line="300" w:lineRule="auto"/>
            </w:pPr>
            <w:r>
              <w:rPr>
                <w:rFonts w:ascii="宋体" w:hAnsi="宋体" w:eastAsia="宋体"/>
                <w:sz w:val="19"/>
              </w:rPr>
              <w:t>直播或录播授权</w:t>
            </w:r>
          </w:p>
        </w:tc>
        <w:tc>
          <w:tcPr>
            <w:tcW w:type="dxa" w:w="3968"/>
            <w:vAlign w:val="center"/>
          </w:tcPr>
          <w:p>
            <w:pPr>
              <w:spacing w:after="0" w:line="300" w:lineRule="auto"/>
            </w:pPr>
            <w:r>
              <w:rPr>
                <w:rFonts w:ascii="宋体" w:hAnsi="宋体" w:eastAsia="宋体"/>
                <w:sz w:val="19"/>
              </w:rPr>
              <w:t>围绕“直播或录播授权”形成可操作、可记录、可追溯的业务环节，具体表单、字段和责任人由医院确认。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r>
        <w:tc>
          <w:tcPr>
            <w:tcW w:type="dxa" w:w="623"/>
            <w:vAlign w:val="center"/>
          </w:tcPr>
          <w:p>
            <w:pPr>
              <w:spacing w:after="0" w:line="300" w:lineRule="auto"/>
            </w:pPr>
            <w:r>
              <w:rPr>
                <w:rFonts w:ascii="宋体" w:hAnsi="宋体" w:eastAsia="宋体"/>
                <w:sz w:val="19"/>
              </w:rPr>
              <w:t>4</w:t>
            </w:r>
          </w:p>
        </w:tc>
        <w:tc>
          <w:tcPr>
            <w:tcW w:type="dxa" w:w="2381"/>
            <w:vAlign w:val="center"/>
          </w:tcPr>
          <w:p>
            <w:pPr>
              <w:spacing w:after="0" w:line="300" w:lineRule="auto"/>
            </w:pPr>
            <w:r>
              <w:rPr>
                <w:rFonts w:ascii="宋体" w:hAnsi="宋体" w:eastAsia="宋体"/>
                <w:sz w:val="19"/>
              </w:rPr>
              <w:t>示教室观看和互动</w:t>
            </w:r>
          </w:p>
        </w:tc>
        <w:tc>
          <w:tcPr>
            <w:tcW w:type="dxa" w:w="3968"/>
            <w:vAlign w:val="center"/>
          </w:tcPr>
          <w:p>
            <w:pPr>
              <w:spacing w:after="0" w:line="300" w:lineRule="auto"/>
            </w:pPr>
            <w:r>
              <w:rPr>
                <w:rFonts w:ascii="宋体" w:hAnsi="宋体" w:eastAsia="宋体"/>
                <w:sz w:val="19"/>
              </w:rPr>
              <w:t>围绕“示教室观看和互动”形成可操作、可记录、可追溯的业务环节，具体表单、字段和责任人由医院确认。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r>
        <w:tc>
          <w:tcPr>
            <w:tcW w:type="dxa" w:w="623"/>
            <w:vAlign w:val="center"/>
          </w:tcPr>
          <w:p>
            <w:pPr>
              <w:spacing w:after="0" w:line="300" w:lineRule="auto"/>
            </w:pPr>
            <w:r>
              <w:rPr>
                <w:rFonts w:ascii="宋体" w:hAnsi="宋体" w:eastAsia="宋体"/>
                <w:sz w:val="19"/>
              </w:rPr>
              <w:t>5</w:t>
            </w:r>
          </w:p>
        </w:tc>
        <w:tc>
          <w:tcPr>
            <w:tcW w:type="dxa" w:w="2381"/>
            <w:vAlign w:val="center"/>
          </w:tcPr>
          <w:p>
            <w:pPr>
              <w:spacing w:after="0" w:line="300" w:lineRule="auto"/>
            </w:pPr>
            <w:r>
              <w:rPr>
                <w:rFonts w:ascii="宋体" w:hAnsi="宋体" w:eastAsia="宋体"/>
                <w:sz w:val="19"/>
              </w:rPr>
              <w:t>术后资料归档</w:t>
            </w:r>
          </w:p>
        </w:tc>
        <w:tc>
          <w:tcPr>
            <w:tcW w:type="dxa" w:w="3968"/>
            <w:vAlign w:val="center"/>
          </w:tcPr>
          <w:p>
            <w:pPr>
              <w:spacing w:after="0" w:line="300" w:lineRule="auto"/>
            </w:pPr>
            <w:r>
              <w:rPr>
                <w:rFonts w:ascii="宋体" w:hAnsi="宋体" w:eastAsia="宋体"/>
                <w:sz w:val="19"/>
              </w:rPr>
              <w:t>围绕“术后资料归档”形成可操作、可记录、可追溯的业务环节，具体表单、字段和责任人由医院确认。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r>
        <w:tc>
          <w:tcPr>
            <w:tcW w:type="dxa" w:w="623"/>
            <w:vAlign w:val="center"/>
          </w:tcPr>
          <w:p>
            <w:pPr>
              <w:spacing w:after="0" w:line="300" w:lineRule="auto"/>
            </w:pPr>
            <w:r>
              <w:rPr>
                <w:rFonts w:ascii="宋体" w:hAnsi="宋体" w:eastAsia="宋体"/>
                <w:sz w:val="19"/>
              </w:rPr>
              <w:t>6</w:t>
            </w:r>
          </w:p>
        </w:tc>
        <w:tc>
          <w:tcPr>
            <w:tcW w:type="dxa" w:w="2381"/>
            <w:vAlign w:val="center"/>
          </w:tcPr>
          <w:p>
            <w:pPr>
              <w:spacing w:after="0" w:line="300" w:lineRule="auto"/>
            </w:pPr>
            <w:r>
              <w:rPr>
                <w:rFonts w:ascii="宋体" w:hAnsi="宋体" w:eastAsia="宋体"/>
                <w:sz w:val="19"/>
              </w:rPr>
              <w:t>课程回看和权限维护</w:t>
            </w:r>
          </w:p>
        </w:tc>
        <w:tc>
          <w:tcPr>
            <w:tcW w:type="dxa" w:w="3968"/>
            <w:vAlign w:val="center"/>
          </w:tcPr>
          <w:p>
            <w:pPr>
              <w:spacing w:after="0" w:line="300" w:lineRule="auto"/>
            </w:pPr>
            <w:r>
              <w:rPr>
                <w:rFonts w:ascii="宋体" w:hAnsi="宋体" w:eastAsia="宋体"/>
                <w:sz w:val="19"/>
              </w:rPr>
              <w:t>围绕“课程回看和权限维护”形成可操作、可记录、可追溯的业务环节，具体表单、字段和责任人由医院确认。</w:t>
            </w:r>
          </w:p>
        </w:tc>
        <w:tc>
          <w:tcPr>
            <w:tcW w:type="dxa" w:w="2040"/>
            <w:vAlign w:val="center"/>
          </w:tcPr>
          <w:p>
            <w:pPr>
              <w:spacing w:after="0" w:line="300" w:lineRule="auto"/>
            </w:pPr>
            <w:r>
              <w:rPr>
                <w:rFonts w:ascii="宋体" w:hAnsi="宋体" w:eastAsia="宋体"/>
                <w:sz w:val="19"/>
              </w:rPr>
              <w:t>账号、时间、对象、结果和异常信息。</w:t>
            </w:r>
          </w:p>
        </w:tc>
      </w:tr>
    </w:tbl>
    <w:p>
      <w:pPr>
        <w:spacing w:after="40"/>
      </w:pPr>
    </w:p>
    <w:p>
      <w:pPr>
        <w:pStyle w:val="Heading2"/>
      </w:pPr>
      <w:r>
        <w:t>（三）功能边界</w:t>
      </w:r>
    </w:p>
    <w:p>
      <w:pPr>
        <w:spacing w:line="324" w:lineRule="auto" w:after="80"/>
        <w:ind w:left="480" w:hanging="360"/>
      </w:pPr>
      <w:r>
        <w:rPr>
          <w:rFonts w:ascii="宋体" w:hAnsi="宋体" w:eastAsia="宋体"/>
          <w:sz w:val="21"/>
        </w:rPr>
        <w:t>1. 本方案以项目招标范围为交付边界，未列入招标文件或未经医院确认的接口、字段、终端、点位和第三方系统联动，不作为默认交付内容。</w:t>
      </w:r>
    </w:p>
    <w:p>
      <w:pPr>
        <w:spacing w:line="324" w:lineRule="auto" w:after="80"/>
        <w:ind w:left="480" w:hanging="360"/>
      </w:pPr>
      <w:r>
        <w:rPr>
          <w:rFonts w:ascii="宋体" w:hAnsi="宋体" w:eastAsia="宋体"/>
          <w:sz w:val="21"/>
        </w:rPr>
        <w:t>2. 涉及患者隐私、手术视频、会诊资料和健康医疗数据的功能，应经过医院授权、权限配置和必要的日志审计。</w:t>
      </w:r>
    </w:p>
    <w:p>
      <w:pPr>
        <w:spacing w:line="324" w:lineRule="auto" w:after="80"/>
        <w:ind w:left="480" w:hanging="360"/>
      </w:pPr>
      <w:r>
        <w:rPr>
          <w:rFonts w:ascii="宋体" w:hAnsi="宋体" w:eastAsia="宋体"/>
          <w:sz w:val="21"/>
        </w:rPr>
        <w:t>3. 涉及 AI 分析、数字孪生、机器人控制、全设备控制等增强能力时，应在招标文件或补充协议中单独明确。</w:t>
      </w:r>
    </w:p>
    <w:p>
      <w:pPr>
        <w:pStyle w:val="Heading1"/>
      </w:pPr>
      <w:r>
        <w:t>七、设备与软件配置参考</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8788"/>
      </w:tblGrid>
      <w:tr>
        <w:tc>
          <w:tcPr>
            <w:tcW w:type="dxa" w:w="8788"/>
            <w:shd w:fill="F5F7FA"/>
          </w:tcPr>
          <w:p>
            <w:pPr>
              <w:spacing w:line="324" w:lineRule="auto"/>
            </w:pPr>
            <w:r>
              <w:rPr>
                <w:rFonts w:ascii="宋体" w:hAnsi="宋体" w:eastAsia="黑体"/>
                <w:b/>
                <w:sz w:val="20"/>
              </w:rPr>
              <w:t>配置说明：</w:t>
            </w:r>
            <w:r>
              <w:rPr>
                <w:rFonts w:ascii="宋体" w:hAnsi="宋体" w:eastAsia="宋体"/>
                <w:sz w:val="20"/>
              </w:rPr>
              <w:t>下表为技术方案编写参考，不等同于最终报价清单。设备品牌、型号、数量、性能参数和安装位置，应以招标文件、点位图、现场勘查和商务报价为准。</w:t>
            </w:r>
          </w:p>
        </w:tc>
      </w:tr>
    </w:tbl>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984"/>
            <w:shd w:fill="EAF2F8"/>
            <w:vAlign w:val="center"/>
          </w:tcPr>
          <w:p>
            <w:pPr>
              <w:spacing w:after="0"/>
              <w:jc w:val="center"/>
            </w:pPr>
            <w:r>
              <w:rPr>
                <w:rFonts w:ascii="宋体" w:hAnsi="宋体" w:eastAsia="黑体"/>
                <w:b/>
                <w:sz w:val="20"/>
              </w:rPr>
              <w:t>类别</w:t>
            </w:r>
          </w:p>
        </w:tc>
        <w:tc>
          <w:tcPr>
            <w:tcW w:type="dxa" w:w="2948"/>
            <w:shd w:fill="EAF2F8"/>
            <w:vAlign w:val="center"/>
          </w:tcPr>
          <w:p>
            <w:pPr>
              <w:spacing w:after="0"/>
              <w:jc w:val="center"/>
            </w:pPr>
            <w:r>
              <w:rPr>
                <w:rFonts w:ascii="宋体" w:hAnsi="宋体" w:eastAsia="黑体"/>
                <w:b/>
                <w:sz w:val="20"/>
              </w:rPr>
              <w:t>配置参考</w:t>
            </w:r>
          </w:p>
        </w:tc>
        <w:tc>
          <w:tcPr>
            <w:tcW w:type="dxa" w:w="4081"/>
            <w:shd w:fill="EAF2F8"/>
            <w:vAlign w:val="center"/>
          </w:tcPr>
          <w:p>
            <w:pPr>
              <w:spacing w:after="0"/>
              <w:jc w:val="center"/>
            </w:pPr>
            <w:r>
              <w:rPr>
                <w:rFonts w:ascii="宋体" w:hAnsi="宋体" w:eastAsia="黑体"/>
                <w:b/>
                <w:sz w:val="20"/>
              </w:rPr>
              <w:t>部署与说明</w:t>
            </w:r>
          </w:p>
        </w:tc>
      </w:tr>
      <w:tr>
        <w:tc>
          <w:tcPr>
            <w:tcW w:type="dxa" w:w="1984"/>
            <w:vAlign w:val="center"/>
          </w:tcPr>
          <w:p>
            <w:pPr>
              <w:spacing w:after="0" w:line="300" w:lineRule="auto"/>
              <w:jc w:val="center"/>
            </w:pPr>
            <w:r>
              <w:rPr>
                <w:rFonts w:ascii="宋体" w:hAnsi="宋体" w:eastAsia="宋体"/>
                <w:sz w:val="19"/>
              </w:rPr>
              <w:t>术野摄像机</w:t>
            </w:r>
          </w:p>
        </w:tc>
        <w:tc>
          <w:tcPr>
            <w:tcW w:type="dxa" w:w="2948"/>
            <w:vAlign w:val="center"/>
          </w:tcPr>
          <w:p>
            <w:pPr>
              <w:spacing w:after="0" w:line="300" w:lineRule="auto"/>
            </w:pPr>
            <w:r>
              <w:rPr>
                <w:rFonts w:ascii="宋体" w:hAnsi="宋体" w:eastAsia="宋体"/>
                <w:sz w:val="19"/>
              </w:rPr>
              <w:t>用于手术操作细节采集，关注清晰度、变焦、安装位置和遮挡风险。</w:t>
            </w:r>
          </w:p>
        </w:tc>
        <w:tc>
          <w:tcPr>
            <w:tcW w:type="dxa" w:w="4081"/>
            <w:vAlign w:val="center"/>
          </w:tcPr>
          <w:p>
            <w:pPr>
              <w:spacing w:after="0" w:line="300" w:lineRule="auto"/>
            </w:pPr>
            <w:r>
              <w:rPr>
                <w:rFonts w:ascii="宋体" w:hAnsi="宋体" w:eastAsia="宋体"/>
                <w:sz w:val="19"/>
              </w:rPr>
              <w:t>按点位、视角、遮挡、接口类型和隐私边界深化设计。</w:t>
            </w:r>
          </w:p>
        </w:tc>
      </w:tr>
      <w:tr>
        <w:tc>
          <w:tcPr>
            <w:tcW w:type="dxa" w:w="1984"/>
            <w:vAlign w:val="center"/>
          </w:tcPr>
          <w:p>
            <w:pPr>
              <w:spacing w:after="0" w:line="300" w:lineRule="auto"/>
              <w:jc w:val="center"/>
            </w:pPr>
            <w:r>
              <w:rPr>
                <w:rFonts w:ascii="宋体" w:hAnsi="宋体" w:eastAsia="宋体"/>
                <w:sz w:val="19"/>
              </w:rPr>
              <w:t>全景摄像机</w:t>
            </w:r>
          </w:p>
        </w:tc>
        <w:tc>
          <w:tcPr>
            <w:tcW w:type="dxa" w:w="2948"/>
            <w:vAlign w:val="center"/>
          </w:tcPr>
          <w:p>
            <w:pPr>
              <w:spacing w:after="0" w:line="300" w:lineRule="auto"/>
            </w:pPr>
            <w:r>
              <w:rPr>
                <w:rFonts w:ascii="宋体" w:hAnsi="宋体" w:eastAsia="宋体"/>
                <w:sz w:val="19"/>
              </w:rPr>
              <w:t>用于流程、团队配合和环境视角，注意隐私区域和画面边界。</w:t>
            </w:r>
          </w:p>
        </w:tc>
        <w:tc>
          <w:tcPr>
            <w:tcW w:type="dxa" w:w="4081"/>
            <w:vAlign w:val="center"/>
          </w:tcPr>
          <w:p>
            <w:pPr>
              <w:spacing w:after="0" w:line="300" w:lineRule="auto"/>
            </w:pPr>
            <w:r>
              <w:rPr>
                <w:rFonts w:ascii="宋体" w:hAnsi="宋体" w:eastAsia="宋体"/>
                <w:sz w:val="19"/>
              </w:rPr>
              <w:t>按点位、视角、遮挡、接口类型和隐私边界深化设计。</w:t>
            </w:r>
          </w:p>
        </w:tc>
      </w:tr>
      <w:tr>
        <w:tc>
          <w:tcPr>
            <w:tcW w:type="dxa" w:w="1984"/>
            <w:vAlign w:val="center"/>
          </w:tcPr>
          <w:p>
            <w:pPr>
              <w:spacing w:after="0" w:line="300" w:lineRule="auto"/>
              <w:jc w:val="center"/>
            </w:pPr>
            <w:r>
              <w:rPr>
                <w:rFonts w:ascii="宋体" w:hAnsi="宋体" w:eastAsia="宋体"/>
                <w:sz w:val="19"/>
              </w:rPr>
              <w:t>音频设备</w:t>
            </w:r>
          </w:p>
        </w:tc>
        <w:tc>
          <w:tcPr>
            <w:tcW w:type="dxa" w:w="2948"/>
            <w:vAlign w:val="center"/>
          </w:tcPr>
          <w:p>
            <w:pPr>
              <w:spacing w:after="0" w:line="300" w:lineRule="auto"/>
            </w:pPr>
            <w:r>
              <w:rPr>
                <w:rFonts w:ascii="宋体" w:hAnsi="宋体" w:eastAsia="宋体"/>
                <w:sz w:val="19"/>
              </w:rPr>
              <w:t>包含讲解麦克风、拾音器、扬声器、回声处理和示教室互动设备。</w:t>
            </w:r>
          </w:p>
        </w:tc>
        <w:tc>
          <w:tcPr>
            <w:tcW w:type="dxa" w:w="4081"/>
            <w:vAlign w:val="center"/>
          </w:tcPr>
          <w:p>
            <w:pPr>
              <w:spacing w:after="0" w:line="300" w:lineRule="auto"/>
            </w:pPr>
            <w:r>
              <w:rPr>
                <w:rFonts w:ascii="宋体" w:hAnsi="宋体" w:eastAsia="宋体"/>
                <w:sz w:val="19"/>
              </w:rPr>
              <w:t>围绕手术示教系统业务流程配置，最终数量和参数以深化设计为准。</w:t>
            </w:r>
          </w:p>
        </w:tc>
      </w:tr>
      <w:tr>
        <w:tc>
          <w:tcPr>
            <w:tcW w:type="dxa" w:w="1984"/>
            <w:vAlign w:val="center"/>
          </w:tcPr>
          <w:p>
            <w:pPr>
              <w:spacing w:after="0" w:line="300" w:lineRule="auto"/>
              <w:jc w:val="center"/>
            </w:pPr>
            <w:r>
              <w:rPr>
                <w:rFonts w:ascii="宋体" w:hAnsi="宋体" w:eastAsia="宋体"/>
                <w:sz w:val="19"/>
              </w:rPr>
              <w:t>录播服务器</w:t>
            </w:r>
          </w:p>
        </w:tc>
        <w:tc>
          <w:tcPr>
            <w:tcW w:type="dxa" w:w="2948"/>
            <w:vAlign w:val="center"/>
          </w:tcPr>
          <w:p>
            <w:pPr>
              <w:spacing w:after="0" w:line="300" w:lineRule="auto"/>
            </w:pPr>
            <w:r>
              <w:rPr>
                <w:rFonts w:ascii="宋体" w:hAnsi="宋体" w:eastAsia="宋体"/>
                <w:sz w:val="19"/>
              </w:rPr>
              <w:t>用于多画面同步录制、课程管理、点播回看和权限控制。</w:t>
            </w:r>
          </w:p>
        </w:tc>
        <w:tc>
          <w:tcPr>
            <w:tcW w:type="dxa" w:w="4081"/>
            <w:vAlign w:val="center"/>
          </w:tcPr>
          <w:p>
            <w:pPr>
              <w:spacing w:after="0" w:line="300" w:lineRule="auto"/>
            </w:pPr>
            <w:r>
              <w:rPr>
                <w:rFonts w:ascii="宋体" w:hAnsi="宋体" w:eastAsia="宋体"/>
                <w:sz w:val="19"/>
              </w:rPr>
              <w:t>按并发、保存周期、部署方式和医院机房条件核算，纳入统一运维。</w:t>
            </w:r>
          </w:p>
        </w:tc>
      </w:tr>
      <w:tr>
        <w:tc>
          <w:tcPr>
            <w:tcW w:type="dxa" w:w="1984"/>
            <w:vAlign w:val="center"/>
          </w:tcPr>
          <w:p>
            <w:pPr>
              <w:spacing w:after="0" w:line="300" w:lineRule="auto"/>
              <w:jc w:val="center"/>
            </w:pPr>
            <w:r>
              <w:rPr>
                <w:rFonts w:ascii="宋体" w:hAnsi="宋体" w:eastAsia="宋体"/>
                <w:sz w:val="19"/>
              </w:rPr>
              <w:t>示教终端</w:t>
            </w:r>
          </w:p>
        </w:tc>
        <w:tc>
          <w:tcPr>
            <w:tcW w:type="dxa" w:w="2948"/>
            <w:vAlign w:val="center"/>
          </w:tcPr>
          <w:p>
            <w:pPr>
              <w:spacing w:after="0" w:line="300" w:lineRule="auto"/>
            </w:pPr>
            <w:r>
              <w:rPr>
                <w:rFonts w:ascii="宋体" w:hAnsi="宋体" w:eastAsia="宋体"/>
                <w:sz w:val="19"/>
              </w:rPr>
              <w:t>包括示教室大屏、专家终端、移动观摩终端和管理端。</w:t>
            </w:r>
          </w:p>
        </w:tc>
        <w:tc>
          <w:tcPr>
            <w:tcW w:type="dxa" w:w="4081"/>
            <w:vAlign w:val="center"/>
          </w:tcPr>
          <w:p>
            <w:pPr>
              <w:spacing w:after="0" w:line="300" w:lineRule="auto"/>
            </w:pPr>
            <w:r>
              <w:rPr>
                <w:rFonts w:ascii="宋体" w:hAnsi="宋体" w:eastAsia="宋体"/>
                <w:sz w:val="19"/>
              </w:rPr>
              <w:t>按房间布局、使用人员、安装位置和供电网络条件配置。</w:t>
            </w:r>
          </w:p>
        </w:tc>
      </w:tr>
    </w:tbl>
    <w:p>
      <w:pPr>
        <w:spacing w:after="40"/>
      </w:pPr>
    </w:p>
    <w:p>
      <w:pPr>
        <w:pStyle w:val="Heading2"/>
      </w:pPr>
      <w:r>
        <w:t>（一）主要设备技术要求参考</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197"/>
        <w:gridCol w:w="2197"/>
        <w:gridCol w:w="2197"/>
        <w:gridCol w:w="2197"/>
      </w:tblGrid>
      <w:tr>
        <w:tc>
          <w:tcPr>
            <w:tcW w:type="dxa" w:w="1700"/>
            <w:shd w:fill="EAF2F8"/>
            <w:vAlign w:val="center"/>
          </w:tcPr>
          <w:p>
            <w:pPr>
              <w:spacing w:after="0"/>
              <w:jc w:val="center"/>
            </w:pPr>
            <w:r>
              <w:rPr>
                <w:rFonts w:ascii="宋体" w:hAnsi="宋体" w:eastAsia="黑体"/>
                <w:b/>
                <w:sz w:val="20"/>
              </w:rPr>
              <w:t>设备或模块</w:t>
            </w:r>
          </w:p>
        </w:tc>
        <w:tc>
          <w:tcPr>
            <w:tcW w:type="dxa" w:w="3174"/>
            <w:shd w:fill="EAF2F8"/>
            <w:vAlign w:val="center"/>
          </w:tcPr>
          <w:p>
            <w:pPr>
              <w:spacing w:after="0"/>
              <w:jc w:val="center"/>
            </w:pPr>
            <w:r>
              <w:rPr>
                <w:rFonts w:ascii="宋体" w:hAnsi="宋体" w:eastAsia="黑体"/>
                <w:b/>
                <w:sz w:val="20"/>
              </w:rPr>
              <w:t>核心技术要求</w:t>
            </w:r>
          </w:p>
        </w:tc>
        <w:tc>
          <w:tcPr>
            <w:tcW w:type="dxa" w:w="2551"/>
            <w:shd w:fill="EAF2F8"/>
            <w:vAlign w:val="center"/>
          </w:tcPr>
          <w:p>
            <w:pPr>
              <w:spacing w:after="0"/>
              <w:jc w:val="center"/>
            </w:pPr>
            <w:r>
              <w:rPr>
                <w:rFonts w:ascii="宋体" w:hAnsi="宋体" w:eastAsia="黑体"/>
                <w:b/>
                <w:sz w:val="20"/>
              </w:rPr>
              <w:t>配置数量口径</w:t>
            </w:r>
          </w:p>
        </w:tc>
        <w:tc>
          <w:tcPr>
            <w:tcW w:type="dxa" w:w="1587"/>
            <w:shd w:fill="EAF2F8"/>
            <w:vAlign w:val="center"/>
          </w:tcPr>
          <w:p>
            <w:pPr>
              <w:spacing w:after="0"/>
              <w:jc w:val="center"/>
            </w:pPr>
            <w:r>
              <w:rPr>
                <w:rFonts w:ascii="宋体" w:hAnsi="宋体" w:eastAsia="黑体"/>
                <w:b/>
                <w:sz w:val="20"/>
              </w:rPr>
              <w:t>备注</w:t>
            </w:r>
          </w:p>
        </w:tc>
      </w:tr>
      <w:tr>
        <w:tc>
          <w:tcPr>
            <w:tcW w:type="dxa" w:w="1700"/>
            <w:vAlign w:val="center"/>
          </w:tcPr>
          <w:p>
            <w:pPr>
              <w:spacing w:after="0" w:line="300" w:lineRule="auto"/>
            </w:pPr>
            <w:r>
              <w:rPr>
                <w:rFonts w:ascii="宋体" w:hAnsi="宋体" w:eastAsia="宋体"/>
                <w:sz w:val="19"/>
              </w:rPr>
              <w:t>平台服务器/虚拟化资源</w:t>
            </w:r>
          </w:p>
        </w:tc>
        <w:tc>
          <w:tcPr>
            <w:tcW w:type="dxa" w:w="3174"/>
            <w:vAlign w:val="center"/>
          </w:tcPr>
          <w:p>
            <w:pPr>
              <w:spacing w:after="0" w:line="300" w:lineRule="auto"/>
            </w:pPr>
            <w:r>
              <w:rPr>
                <w:rFonts w:ascii="宋体" w:hAnsi="宋体" w:eastAsia="宋体"/>
                <w:sz w:val="19"/>
              </w:rPr>
              <w:t>承载业务平台、数据库、录制或接口服务；支持权限、日志、备份和运维管理。</w:t>
            </w:r>
          </w:p>
        </w:tc>
        <w:tc>
          <w:tcPr>
            <w:tcW w:type="dxa" w:w="2551"/>
            <w:vAlign w:val="center"/>
          </w:tcPr>
          <w:p>
            <w:pPr>
              <w:spacing w:after="0" w:line="300" w:lineRule="auto"/>
            </w:pPr>
            <w:r>
              <w:rPr>
                <w:rFonts w:ascii="宋体" w:hAnsi="宋体" w:eastAsia="宋体"/>
                <w:sz w:val="19"/>
              </w:rPr>
              <w:t>按房间数量、并发路数、保存周期和医院机房条件核算。</w:t>
            </w:r>
          </w:p>
        </w:tc>
        <w:tc>
          <w:tcPr>
            <w:tcW w:type="dxa" w:w="1587"/>
            <w:vAlign w:val="center"/>
          </w:tcPr>
          <w:p>
            <w:pPr>
              <w:spacing w:after="0" w:line="300" w:lineRule="auto"/>
            </w:pPr>
            <w:r>
              <w:rPr>
                <w:rFonts w:ascii="宋体" w:hAnsi="宋体" w:eastAsia="宋体"/>
                <w:sz w:val="19"/>
              </w:rPr>
              <w:t>可采用物理服务器或医院虚拟化资源，需确认存储与备份策略。</w:t>
            </w:r>
          </w:p>
        </w:tc>
      </w:tr>
      <w:tr>
        <w:tc>
          <w:tcPr>
            <w:tcW w:type="dxa" w:w="1700"/>
            <w:vAlign w:val="center"/>
          </w:tcPr>
          <w:p>
            <w:pPr>
              <w:spacing w:after="0" w:line="300" w:lineRule="auto"/>
            </w:pPr>
            <w:r>
              <w:rPr>
                <w:rFonts w:ascii="宋体" w:hAnsi="宋体" w:eastAsia="宋体"/>
                <w:sz w:val="19"/>
              </w:rPr>
              <w:t>管理工作站</w:t>
            </w:r>
          </w:p>
        </w:tc>
        <w:tc>
          <w:tcPr>
            <w:tcW w:type="dxa" w:w="3174"/>
            <w:vAlign w:val="center"/>
          </w:tcPr>
          <w:p>
            <w:pPr>
              <w:spacing w:after="0" w:line="300" w:lineRule="auto"/>
            </w:pPr>
            <w:r>
              <w:rPr>
                <w:rFonts w:ascii="宋体" w:hAnsi="宋体" w:eastAsia="宋体"/>
                <w:sz w:val="19"/>
              </w:rPr>
              <w:t>用于系统配置、资源管理、权限维护、资料检索和故障排查。</w:t>
            </w:r>
          </w:p>
        </w:tc>
        <w:tc>
          <w:tcPr>
            <w:tcW w:type="dxa" w:w="2551"/>
            <w:vAlign w:val="center"/>
          </w:tcPr>
          <w:p>
            <w:pPr>
              <w:spacing w:after="0" w:line="300" w:lineRule="auto"/>
            </w:pPr>
            <w:r>
              <w:rPr>
                <w:rFonts w:ascii="宋体" w:hAnsi="宋体" w:eastAsia="宋体"/>
                <w:sz w:val="19"/>
              </w:rPr>
              <w:t>护士站、示教中心、信息科或会诊中心按需配置。</w:t>
            </w:r>
          </w:p>
        </w:tc>
        <w:tc>
          <w:tcPr>
            <w:tcW w:type="dxa" w:w="1587"/>
            <w:vAlign w:val="center"/>
          </w:tcPr>
          <w:p>
            <w:pPr>
              <w:spacing w:after="0" w:line="300" w:lineRule="auto"/>
            </w:pPr>
            <w:r>
              <w:rPr>
                <w:rFonts w:ascii="宋体" w:hAnsi="宋体" w:eastAsia="宋体"/>
                <w:sz w:val="19"/>
              </w:rPr>
              <w:t>应限制管理员权限，避免普通账号具备高危配置能力。</w:t>
            </w:r>
          </w:p>
        </w:tc>
      </w:tr>
      <w:tr>
        <w:tc>
          <w:tcPr>
            <w:tcW w:type="dxa" w:w="1700"/>
            <w:vAlign w:val="center"/>
          </w:tcPr>
          <w:p>
            <w:pPr>
              <w:spacing w:after="0" w:line="300" w:lineRule="auto"/>
            </w:pPr>
            <w:r>
              <w:rPr>
                <w:rFonts w:ascii="宋体" w:hAnsi="宋体" w:eastAsia="宋体"/>
                <w:sz w:val="19"/>
              </w:rPr>
              <w:t>交换机与网络链路</w:t>
            </w:r>
          </w:p>
        </w:tc>
        <w:tc>
          <w:tcPr>
            <w:tcW w:type="dxa" w:w="3174"/>
            <w:vAlign w:val="center"/>
          </w:tcPr>
          <w:p>
            <w:pPr>
              <w:spacing w:after="0" w:line="300" w:lineRule="auto"/>
            </w:pPr>
            <w:r>
              <w:rPr>
                <w:rFonts w:ascii="宋体" w:hAnsi="宋体" w:eastAsia="宋体"/>
                <w:sz w:val="19"/>
              </w:rPr>
              <w:t>承载视频、控制、业务访问和管理流量。</w:t>
            </w:r>
          </w:p>
        </w:tc>
        <w:tc>
          <w:tcPr>
            <w:tcW w:type="dxa" w:w="2551"/>
            <w:vAlign w:val="center"/>
          </w:tcPr>
          <w:p>
            <w:pPr>
              <w:spacing w:after="0" w:line="300" w:lineRule="auto"/>
            </w:pPr>
            <w:r>
              <w:rPr>
                <w:rFonts w:ascii="宋体" w:hAnsi="宋体" w:eastAsia="宋体"/>
                <w:sz w:val="19"/>
              </w:rPr>
              <w:t>按视频码率、并发、网段隔离和上联带宽核算。</w:t>
            </w:r>
          </w:p>
        </w:tc>
        <w:tc>
          <w:tcPr>
            <w:tcW w:type="dxa" w:w="1587"/>
            <w:vAlign w:val="center"/>
          </w:tcPr>
          <w:p>
            <w:pPr>
              <w:spacing w:after="0" w:line="300" w:lineRule="auto"/>
            </w:pPr>
            <w:r>
              <w:rPr>
                <w:rFonts w:ascii="宋体" w:hAnsi="宋体" w:eastAsia="宋体"/>
                <w:sz w:val="19"/>
              </w:rPr>
              <w:t>跨网访问需经医院信息科确认安全策略。</w:t>
            </w:r>
          </w:p>
        </w:tc>
      </w:tr>
      <w:tr>
        <w:tc>
          <w:tcPr>
            <w:tcW w:type="dxa" w:w="1700"/>
            <w:vAlign w:val="center"/>
          </w:tcPr>
          <w:p>
            <w:pPr>
              <w:spacing w:after="0" w:line="300" w:lineRule="auto"/>
            </w:pPr>
            <w:r>
              <w:rPr>
                <w:rFonts w:ascii="宋体" w:hAnsi="宋体" w:eastAsia="宋体"/>
                <w:sz w:val="19"/>
              </w:rPr>
              <w:t>显示终端</w:t>
            </w:r>
          </w:p>
        </w:tc>
        <w:tc>
          <w:tcPr>
            <w:tcW w:type="dxa" w:w="3174"/>
            <w:vAlign w:val="center"/>
          </w:tcPr>
          <w:p>
            <w:pPr>
              <w:spacing w:after="0" w:line="300" w:lineRule="auto"/>
            </w:pPr>
            <w:r>
              <w:rPr>
                <w:rFonts w:ascii="宋体" w:hAnsi="宋体" w:eastAsia="宋体"/>
                <w:sz w:val="19"/>
              </w:rPr>
              <w:t>用于手术间、示教室、会诊室、护士站或指挥中心显示。</w:t>
            </w:r>
          </w:p>
        </w:tc>
        <w:tc>
          <w:tcPr>
            <w:tcW w:type="dxa" w:w="2551"/>
            <w:vAlign w:val="center"/>
          </w:tcPr>
          <w:p>
            <w:pPr>
              <w:spacing w:after="0" w:line="300" w:lineRule="auto"/>
            </w:pPr>
            <w:r>
              <w:rPr>
                <w:rFonts w:ascii="宋体" w:hAnsi="宋体" w:eastAsia="宋体"/>
                <w:sz w:val="19"/>
              </w:rPr>
              <w:t>按观看距离、分辨率、安装方式和亮度需求选择。</w:t>
            </w:r>
          </w:p>
        </w:tc>
        <w:tc>
          <w:tcPr>
            <w:tcW w:type="dxa" w:w="1587"/>
            <w:vAlign w:val="center"/>
          </w:tcPr>
          <w:p>
            <w:pPr>
              <w:spacing w:after="0" w:line="300" w:lineRule="auto"/>
            </w:pPr>
            <w:r>
              <w:rPr>
                <w:rFonts w:ascii="宋体" w:hAnsi="宋体" w:eastAsia="宋体"/>
                <w:sz w:val="19"/>
              </w:rPr>
              <w:t>医疗场景显示设备需关注接口、稳定性和可维护性。</w:t>
            </w:r>
          </w:p>
        </w:tc>
      </w:tr>
      <w:tr>
        <w:tc>
          <w:tcPr>
            <w:tcW w:type="dxa" w:w="1700"/>
            <w:vAlign w:val="center"/>
          </w:tcPr>
          <w:p>
            <w:pPr>
              <w:spacing w:after="0" w:line="300" w:lineRule="auto"/>
            </w:pPr>
            <w:r>
              <w:rPr>
                <w:rFonts w:ascii="宋体" w:hAnsi="宋体" w:eastAsia="宋体"/>
                <w:sz w:val="19"/>
              </w:rPr>
              <w:t>导播/录播主机</w:t>
            </w:r>
          </w:p>
        </w:tc>
        <w:tc>
          <w:tcPr>
            <w:tcW w:type="dxa" w:w="3174"/>
            <w:vAlign w:val="center"/>
          </w:tcPr>
          <w:p>
            <w:pPr>
              <w:spacing w:after="0" w:line="300" w:lineRule="auto"/>
            </w:pPr>
            <w:r>
              <w:rPr>
                <w:rFonts w:ascii="宋体" w:hAnsi="宋体" w:eastAsia="宋体"/>
                <w:sz w:val="19"/>
              </w:rPr>
              <w:t>支持多画面合成、直播、录制、回放和课程资源生成。</w:t>
            </w:r>
          </w:p>
        </w:tc>
        <w:tc>
          <w:tcPr>
            <w:tcW w:type="dxa" w:w="2551"/>
            <w:vAlign w:val="center"/>
          </w:tcPr>
          <w:p>
            <w:pPr>
              <w:spacing w:after="0" w:line="300" w:lineRule="auto"/>
            </w:pPr>
            <w:r>
              <w:rPr>
                <w:rFonts w:ascii="宋体" w:hAnsi="宋体" w:eastAsia="宋体"/>
                <w:sz w:val="19"/>
              </w:rPr>
              <w:t>按手术间数量、并发直播路数和课程规模配置。</w:t>
            </w:r>
          </w:p>
        </w:tc>
        <w:tc>
          <w:tcPr>
            <w:tcW w:type="dxa" w:w="1587"/>
            <w:vAlign w:val="center"/>
          </w:tcPr>
          <w:p>
            <w:pPr>
              <w:spacing w:after="0" w:line="300" w:lineRule="auto"/>
            </w:pPr>
            <w:r>
              <w:rPr>
                <w:rFonts w:ascii="宋体" w:hAnsi="宋体" w:eastAsia="宋体"/>
                <w:sz w:val="19"/>
              </w:rPr>
              <w:t>应支持术中快速切换和异常恢复。</w:t>
            </w:r>
          </w:p>
        </w:tc>
      </w:tr>
      <w:tr>
        <w:tc>
          <w:tcPr>
            <w:tcW w:type="dxa" w:w="1700"/>
            <w:vAlign w:val="center"/>
          </w:tcPr>
          <w:p>
            <w:pPr>
              <w:spacing w:after="0" w:line="300" w:lineRule="auto"/>
            </w:pPr>
            <w:r>
              <w:rPr>
                <w:rFonts w:ascii="宋体" w:hAnsi="宋体" w:eastAsia="宋体"/>
                <w:sz w:val="19"/>
              </w:rPr>
              <w:t>示教室音视频设备</w:t>
            </w:r>
          </w:p>
        </w:tc>
        <w:tc>
          <w:tcPr>
            <w:tcW w:type="dxa" w:w="3174"/>
            <w:vAlign w:val="center"/>
          </w:tcPr>
          <w:p>
            <w:pPr>
              <w:spacing w:after="0" w:line="300" w:lineRule="auto"/>
            </w:pPr>
            <w:r>
              <w:rPr>
                <w:rFonts w:ascii="宋体" w:hAnsi="宋体" w:eastAsia="宋体"/>
                <w:sz w:val="19"/>
              </w:rPr>
              <w:t>包括显示屏、扩声、拾音、互动终端和教师控制端。</w:t>
            </w:r>
          </w:p>
        </w:tc>
        <w:tc>
          <w:tcPr>
            <w:tcW w:type="dxa" w:w="2551"/>
            <w:vAlign w:val="center"/>
          </w:tcPr>
          <w:p>
            <w:pPr>
              <w:spacing w:after="0" w:line="300" w:lineRule="auto"/>
            </w:pPr>
            <w:r>
              <w:rPr>
                <w:rFonts w:ascii="宋体" w:hAnsi="宋体" w:eastAsia="宋体"/>
                <w:sz w:val="19"/>
              </w:rPr>
              <w:t>按教室面积、座位数和互动方式配置。</w:t>
            </w:r>
          </w:p>
        </w:tc>
        <w:tc>
          <w:tcPr>
            <w:tcW w:type="dxa" w:w="1587"/>
            <w:vAlign w:val="center"/>
          </w:tcPr>
          <w:p>
            <w:pPr>
              <w:spacing w:after="0" w:line="300" w:lineRule="auto"/>
            </w:pPr>
            <w:r>
              <w:rPr>
                <w:rFonts w:ascii="宋体" w:hAnsi="宋体" w:eastAsia="宋体"/>
                <w:sz w:val="19"/>
              </w:rPr>
              <w:t>需做好回声抑制和音频隔离。</w:t>
            </w:r>
          </w:p>
        </w:tc>
      </w:tr>
      <w:tr>
        <w:tc>
          <w:tcPr>
            <w:tcW w:type="dxa" w:w="1700"/>
            <w:vAlign w:val="center"/>
          </w:tcPr>
          <w:p>
            <w:pPr>
              <w:spacing w:after="0" w:line="300" w:lineRule="auto"/>
            </w:pPr>
            <w:r>
              <w:rPr>
                <w:rFonts w:ascii="宋体" w:hAnsi="宋体" w:eastAsia="宋体"/>
                <w:sz w:val="19"/>
              </w:rPr>
              <w:t>术野与全景摄像机</w:t>
            </w:r>
          </w:p>
        </w:tc>
        <w:tc>
          <w:tcPr>
            <w:tcW w:type="dxa" w:w="3174"/>
            <w:vAlign w:val="center"/>
          </w:tcPr>
          <w:p>
            <w:pPr>
              <w:spacing w:after="0" w:line="300" w:lineRule="auto"/>
            </w:pPr>
            <w:r>
              <w:rPr>
                <w:rFonts w:ascii="宋体" w:hAnsi="宋体" w:eastAsia="宋体"/>
                <w:sz w:val="19"/>
              </w:rPr>
              <w:t>采集术区细节、手术间全貌和讲解画面。</w:t>
            </w:r>
          </w:p>
        </w:tc>
        <w:tc>
          <w:tcPr>
            <w:tcW w:type="dxa" w:w="2551"/>
            <w:vAlign w:val="center"/>
          </w:tcPr>
          <w:p>
            <w:pPr>
              <w:spacing w:after="0" w:line="300" w:lineRule="auto"/>
            </w:pPr>
            <w:r>
              <w:rPr>
                <w:rFonts w:ascii="宋体" w:hAnsi="宋体" w:eastAsia="宋体"/>
                <w:sz w:val="19"/>
              </w:rPr>
              <w:t>按视角、变焦、防抖、安装位置和隐私边界选型。</w:t>
            </w:r>
          </w:p>
        </w:tc>
        <w:tc>
          <w:tcPr>
            <w:tcW w:type="dxa" w:w="1587"/>
            <w:vAlign w:val="center"/>
          </w:tcPr>
          <w:p>
            <w:pPr>
              <w:spacing w:after="0" w:line="300" w:lineRule="auto"/>
            </w:pPr>
            <w:r>
              <w:rPr>
                <w:rFonts w:ascii="宋体" w:hAnsi="宋体" w:eastAsia="宋体"/>
                <w:sz w:val="19"/>
              </w:rPr>
              <w:t>安装不得影响层流、吊塔、灯臂和手术动线。</w:t>
            </w:r>
          </w:p>
        </w:tc>
      </w:tr>
      <w:tr>
        <w:tc>
          <w:tcPr>
            <w:tcW w:type="dxa" w:w="1700"/>
            <w:vAlign w:val="center"/>
          </w:tcPr>
          <w:p>
            <w:pPr>
              <w:spacing w:after="0" w:line="300" w:lineRule="auto"/>
            </w:pPr>
            <w:r>
              <w:rPr>
                <w:rFonts w:ascii="宋体" w:hAnsi="宋体" w:eastAsia="宋体"/>
                <w:sz w:val="19"/>
              </w:rPr>
              <w:t>课程资源库</w:t>
            </w:r>
          </w:p>
        </w:tc>
        <w:tc>
          <w:tcPr>
            <w:tcW w:type="dxa" w:w="3174"/>
            <w:vAlign w:val="center"/>
          </w:tcPr>
          <w:p>
            <w:pPr>
              <w:spacing w:after="0" w:line="300" w:lineRule="auto"/>
            </w:pPr>
            <w:r>
              <w:rPr>
                <w:rFonts w:ascii="宋体" w:hAnsi="宋体" w:eastAsia="宋体"/>
                <w:sz w:val="19"/>
              </w:rPr>
              <w:t>管理录像、截图、课件、标签、授权和检索。</w:t>
            </w:r>
          </w:p>
        </w:tc>
        <w:tc>
          <w:tcPr>
            <w:tcW w:type="dxa" w:w="2551"/>
            <w:vAlign w:val="center"/>
          </w:tcPr>
          <w:p>
            <w:pPr>
              <w:spacing w:after="0" w:line="300" w:lineRule="auto"/>
            </w:pPr>
            <w:r>
              <w:rPr>
                <w:rFonts w:ascii="宋体" w:hAnsi="宋体" w:eastAsia="宋体"/>
                <w:sz w:val="19"/>
              </w:rPr>
              <w:t>按课程数量、保存周期和访问人数配置。</w:t>
            </w:r>
          </w:p>
        </w:tc>
        <w:tc>
          <w:tcPr>
            <w:tcW w:type="dxa" w:w="1587"/>
            <w:vAlign w:val="center"/>
          </w:tcPr>
          <w:p>
            <w:pPr>
              <w:spacing w:after="0" w:line="300" w:lineRule="auto"/>
            </w:pPr>
            <w:r>
              <w:rPr>
                <w:rFonts w:ascii="宋体" w:hAnsi="宋体" w:eastAsia="宋体"/>
                <w:sz w:val="19"/>
              </w:rPr>
              <w:t>涉及患者隐私资料需脱敏或授权。</w:t>
            </w:r>
          </w:p>
        </w:tc>
      </w:tr>
    </w:tbl>
    <w:p>
      <w:pPr>
        <w:spacing w:after="40"/>
      </w:pPr>
    </w:p>
    <w:p>
      <w:pPr>
        <w:pStyle w:val="Heading2"/>
      </w:pPr>
      <w:r>
        <w:t>（二）数量核算口径</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2040"/>
            <w:shd w:fill="EAF2F8"/>
            <w:vAlign w:val="center"/>
          </w:tcPr>
          <w:p>
            <w:pPr>
              <w:spacing w:after="0"/>
              <w:jc w:val="center"/>
            </w:pPr>
            <w:r>
              <w:rPr>
                <w:rFonts w:ascii="宋体" w:hAnsi="宋体" w:eastAsia="黑体"/>
                <w:b/>
                <w:sz w:val="20"/>
              </w:rPr>
              <w:t>核算项</w:t>
            </w:r>
          </w:p>
        </w:tc>
        <w:tc>
          <w:tcPr>
            <w:tcW w:type="dxa" w:w="4081"/>
            <w:shd w:fill="EAF2F8"/>
            <w:vAlign w:val="center"/>
          </w:tcPr>
          <w:p>
            <w:pPr>
              <w:spacing w:after="0"/>
              <w:jc w:val="center"/>
            </w:pPr>
            <w:r>
              <w:rPr>
                <w:rFonts w:ascii="宋体" w:hAnsi="宋体" w:eastAsia="黑体"/>
                <w:b/>
                <w:sz w:val="20"/>
              </w:rPr>
              <w:t>核算方法</w:t>
            </w:r>
          </w:p>
        </w:tc>
        <w:tc>
          <w:tcPr>
            <w:tcW w:type="dxa" w:w="2891"/>
            <w:shd w:fill="EAF2F8"/>
            <w:vAlign w:val="center"/>
          </w:tcPr>
          <w:p>
            <w:pPr>
              <w:spacing w:after="0"/>
              <w:jc w:val="center"/>
            </w:pPr>
            <w:r>
              <w:rPr>
                <w:rFonts w:ascii="宋体" w:hAnsi="宋体" w:eastAsia="黑体"/>
                <w:b/>
                <w:sz w:val="20"/>
              </w:rPr>
              <w:t>依据资料</w:t>
            </w:r>
          </w:p>
        </w:tc>
      </w:tr>
      <w:tr>
        <w:tc>
          <w:tcPr>
            <w:tcW w:type="dxa" w:w="2040"/>
            <w:vAlign w:val="center"/>
          </w:tcPr>
          <w:p>
            <w:pPr>
              <w:spacing w:after="0" w:line="300" w:lineRule="auto"/>
              <w:jc w:val="center"/>
            </w:pPr>
            <w:r>
              <w:rPr>
                <w:rFonts w:ascii="宋体" w:hAnsi="宋体" w:eastAsia="宋体"/>
                <w:sz w:val="19"/>
              </w:rPr>
              <w:t>房间/床位/区域数量</w:t>
            </w:r>
          </w:p>
        </w:tc>
        <w:tc>
          <w:tcPr>
            <w:tcW w:type="dxa" w:w="4081"/>
            <w:vAlign w:val="center"/>
          </w:tcPr>
          <w:p>
            <w:pPr>
              <w:spacing w:after="0" w:line="300" w:lineRule="auto"/>
            </w:pPr>
            <w:r>
              <w:rPr>
                <w:rFonts w:ascii="宋体" w:hAnsi="宋体" w:eastAsia="宋体"/>
                <w:sz w:val="19"/>
              </w:rPr>
              <w:t>统计本次纳入建设的实际空间，不把远期预留空间默认计入交付。</w:t>
            </w:r>
          </w:p>
        </w:tc>
        <w:tc>
          <w:tcPr>
            <w:tcW w:type="dxa" w:w="2891"/>
            <w:vAlign w:val="center"/>
          </w:tcPr>
          <w:p>
            <w:pPr>
              <w:spacing w:after="0" w:line="300" w:lineRule="auto"/>
            </w:pPr>
            <w:r>
              <w:rPr>
                <w:rFonts w:ascii="宋体" w:hAnsi="宋体" w:eastAsia="宋体"/>
                <w:sz w:val="19"/>
              </w:rPr>
              <w:t>平面图、现场勘查记录、建设范围确认单。</w:t>
            </w:r>
          </w:p>
        </w:tc>
      </w:tr>
      <w:tr>
        <w:tc>
          <w:tcPr>
            <w:tcW w:type="dxa" w:w="2040"/>
            <w:vAlign w:val="center"/>
          </w:tcPr>
          <w:p>
            <w:pPr>
              <w:spacing w:after="0" w:line="300" w:lineRule="auto"/>
              <w:jc w:val="center"/>
            </w:pPr>
            <w:r>
              <w:rPr>
                <w:rFonts w:ascii="宋体" w:hAnsi="宋体" w:eastAsia="宋体"/>
                <w:sz w:val="19"/>
              </w:rPr>
              <w:t>并发路数</w:t>
            </w:r>
          </w:p>
        </w:tc>
        <w:tc>
          <w:tcPr>
            <w:tcW w:type="dxa" w:w="4081"/>
            <w:vAlign w:val="center"/>
          </w:tcPr>
          <w:p>
            <w:pPr>
              <w:spacing w:after="0" w:line="300" w:lineRule="auto"/>
            </w:pPr>
            <w:r>
              <w:rPr>
                <w:rFonts w:ascii="宋体" w:hAnsi="宋体" w:eastAsia="宋体"/>
                <w:sz w:val="19"/>
              </w:rPr>
              <w:t>统计同时采集、显示、直播、录制、会诊或探视的最大业务量。</w:t>
            </w:r>
          </w:p>
        </w:tc>
        <w:tc>
          <w:tcPr>
            <w:tcW w:type="dxa" w:w="2891"/>
            <w:vAlign w:val="center"/>
          </w:tcPr>
          <w:p>
            <w:pPr>
              <w:spacing w:after="0" w:line="300" w:lineRule="auto"/>
            </w:pPr>
            <w:r>
              <w:rPr>
                <w:rFonts w:ascii="宋体" w:hAnsi="宋体" w:eastAsia="宋体"/>
                <w:sz w:val="19"/>
              </w:rPr>
              <w:t>并发估算表、使用场景确认。</w:t>
            </w:r>
          </w:p>
        </w:tc>
      </w:tr>
      <w:tr>
        <w:tc>
          <w:tcPr>
            <w:tcW w:type="dxa" w:w="2040"/>
            <w:vAlign w:val="center"/>
          </w:tcPr>
          <w:p>
            <w:pPr>
              <w:spacing w:after="0" w:line="300" w:lineRule="auto"/>
              <w:jc w:val="center"/>
            </w:pPr>
            <w:r>
              <w:rPr>
                <w:rFonts w:ascii="宋体" w:hAnsi="宋体" w:eastAsia="宋体"/>
                <w:sz w:val="19"/>
              </w:rPr>
              <w:t>保存周期</w:t>
            </w:r>
          </w:p>
        </w:tc>
        <w:tc>
          <w:tcPr>
            <w:tcW w:type="dxa" w:w="4081"/>
            <w:vAlign w:val="center"/>
          </w:tcPr>
          <w:p>
            <w:pPr>
              <w:spacing w:after="0" w:line="300" w:lineRule="auto"/>
            </w:pPr>
            <w:r>
              <w:rPr>
                <w:rFonts w:ascii="宋体" w:hAnsi="宋体" w:eastAsia="宋体"/>
                <w:sz w:val="19"/>
              </w:rPr>
              <w:t>确定视频、图片、日志、会议记录、会诊记录或探视记录保存时间。</w:t>
            </w:r>
          </w:p>
        </w:tc>
        <w:tc>
          <w:tcPr>
            <w:tcW w:type="dxa" w:w="2891"/>
            <w:vAlign w:val="center"/>
          </w:tcPr>
          <w:p>
            <w:pPr>
              <w:spacing w:after="0" w:line="300" w:lineRule="auto"/>
            </w:pPr>
            <w:r>
              <w:rPr>
                <w:rFonts w:ascii="宋体" w:hAnsi="宋体" w:eastAsia="宋体"/>
                <w:sz w:val="19"/>
              </w:rPr>
              <w:t>医院制度、招标文件、科室确认。</w:t>
            </w:r>
          </w:p>
        </w:tc>
      </w:tr>
      <w:tr>
        <w:tc>
          <w:tcPr>
            <w:tcW w:type="dxa" w:w="2040"/>
            <w:vAlign w:val="center"/>
          </w:tcPr>
          <w:p>
            <w:pPr>
              <w:spacing w:after="0" w:line="300" w:lineRule="auto"/>
              <w:jc w:val="center"/>
            </w:pPr>
            <w:r>
              <w:rPr>
                <w:rFonts w:ascii="宋体" w:hAnsi="宋体" w:eastAsia="宋体"/>
                <w:sz w:val="19"/>
              </w:rPr>
              <w:t>接口数量</w:t>
            </w:r>
          </w:p>
        </w:tc>
        <w:tc>
          <w:tcPr>
            <w:tcW w:type="dxa" w:w="4081"/>
            <w:vAlign w:val="center"/>
          </w:tcPr>
          <w:p>
            <w:pPr>
              <w:spacing w:after="0" w:line="300" w:lineRule="auto"/>
            </w:pPr>
            <w:r>
              <w:rPr>
                <w:rFonts w:ascii="宋体" w:hAnsi="宋体" w:eastAsia="宋体"/>
                <w:sz w:val="19"/>
              </w:rPr>
              <w:t>按实际需要对接的系统、字段、页面和联调对象统计。</w:t>
            </w:r>
          </w:p>
        </w:tc>
        <w:tc>
          <w:tcPr>
            <w:tcW w:type="dxa" w:w="2891"/>
            <w:vAlign w:val="center"/>
          </w:tcPr>
          <w:p>
            <w:pPr>
              <w:spacing w:after="0" w:line="300" w:lineRule="auto"/>
            </w:pPr>
            <w:r>
              <w:rPr>
                <w:rFonts w:ascii="宋体" w:hAnsi="宋体" w:eastAsia="宋体"/>
                <w:sz w:val="19"/>
              </w:rPr>
              <w:t>接口清单、原厂接口说明、联调计划。</w:t>
            </w:r>
          </w:p>
        </w:tc>
      </w:tr>
      <w:tr>
        <w:tc>
          <w:tcPr>
            <w:tcW w:type="dxa" w:w="2040"/>
            <w:vAlign w:val="center"/>
          </w:tcPr>
          <w:p>
            <w:pPr>
              <w:spacing w:after="0" w:line="300" w:lineRule="auto"/>
              <w:jc w:val="center"/>
            </w:pPr>
            <w:r>
              <w:rPr>
                <w:rFonts w:ascii="宋体" w:hAnsi="宋体" w:eastAsia="宋体"/>
                <w:sz w:val="19"/>
              </w:rPr>
              <w:t>施工点位</w:t>
            </w:r>
          </w:p>
        </w:tc>
        <w:tc>
          <w:tcPr>
            <w:tcW w:type="dxa" w:w="4081"/>
            <w:vAlign w:val="center"/>
          </w:tcPr>
          <w:p>
            <w:pPr>
              <w:spacing w:after="0" w:line="300" w:lineRule="auto"/>
            </w:pPr>
            <w:r>
              <w:rPr>
                <w:rFonts w:ascii="宋体" w:hAnsi="宋体" w:eastAsia="宋体"/>
                <w:sz w:val="19"/>
              </w:rPr>
              <w:t>按设备安装位置、线缆路径、供电、网络和固定方式统计。</w:t>
            </w:r>
          </w:p>
        </w:tc>
        <w:tc>
          <w:tcPr>
            <w:tcW w:type="dxa" w:w="2891"/>
            <w:vAlign w:val="center"/>
          </w:tcPr>
          <w:p>
            <w:pPr>
              <w:spacing w:after="0" w:line="300" w:lineRule="auto"/>
            </w:pPr>
            <w:r>
              <w:rPr>
                <w:rFonts w:ascii="宋体" w:hAnsi="宋体" w:eastAsia="宋体"/>
                <w:sz w:val="19"/>
              </w:rPr>
              <w:t>点位图、线缆表、施工配合单。</w:t>
            </w:r>
          </w:p>
        </w:tc>
      </w:tr>
      <w:tr>
        <w:tc>
          <w:tcPr>
            <w:tcW w:type="dxa" w:w="2040"/>
            <w:vAlign w:val="center"/>
          </w:tcPr>
          <w:p>
            <w:pPr>
              <w:spacing w:after="0" w:line="300" w:lineRule="auto"/>
              <w:jc w:val="center"/>
            </w:pPr>
            <w:r>
              <w:rPr>
                <w:rFonts w:ascii="宋体" w:hAnsi="宋体" w:eastAsia="宋体"/>
                <w:sz w:val="19"/>
              </w:rPr>
              <w:t>视频分辨率和码率</w:t>
            </w:r>
          </w:p>
        </w:tc>
        <w:tc>
          <w:tcPr>
            <w:tcW w:type="dxa" w:w="4081"/>
            <w:vAlign w:val="center"/>
          </w:tcPr>
          <w:p>
            <w:pPr>
              <w:spacing w:after="0" w:line="300" w:lineRule="auto"/>
            </w:pPr>
            <w:r>
              <w:rPr>
                <w:rFonts w:ascii="宋体" w:hAnsi="宋体" w:eastAsia="宋体"/>
                <w:sz w:val="19"/>
              </w:rPr>
              <w:t>按 1080P/4K、帧率、压缩方式和画面质量确定带宽与存储。</w:t>
            </w:r>
          </w:p>
        </w:tc>
        <w:tc>
          <w:tcPr>
            <w:tcW w:type="dxa" w:w="2891"/>
            <w:vAlign w:val="center"/>
          </w:tcPr>
          <w:p>
            <w:pPr>
              <w:spacing w:after="0" w:line="300" w:lineRule="auto"/>
            </w:pPr>
            <w:r>
              <w:rPr>
                <w:rFonts w:ascii="宋体" w:hAnsi="宋体" w:eastAsia="宋体"/>
                <w:sz w:val="19"/>
              </w:rPr>
              <w:t>信号源参数、网络测试、显示要求。</w:t>
            </w:r>
          </w:p>
        </w:tc>
      </w:tr>
      <w:tr>
        <w:tc>
          <w:tcPr>
            <w:tcW w:type="dxa" w:w="2040"/>
            <w:vAlign w:val="center"/>
          </w:tcPr>
          <w:p>
            <w:pPr>
              <w:spacing w:after="0" w:line="300" w:lineRule="auto"/>
              <w:jc w:val="center"/>
            </w:pPr>
            <w:r>
              <w:rPr>
                <w:rFonts w:ascii="宋体" w:hAnsi="宋体" w:eastAsia="宋体"/>
                <w:sz w:val="19"/>
              </w:rPr>
              <w:t>终端观看人数</w:t>
            </w:r>
          </w:p>
        </w:tc>
        <w:tc>
          <w:tcPr>
            <w:tcW w:type="dxa" w:w="4081"/>
            <w:vAlign w:val="center"/>
          </w:tcPr>
          <w:p>
            <w:pPr>
              <w:spacing w:after="0" w:line="300" w:lineRule="auto"/>
            </w:pPr>
            <w:r>
              <w:rPr>
                <w:rFonts w:ascii="宋体" w:hAnsi="宋体" w:eastAsia="宋体"/>
                <w:sz w:val="19"/>
              </w:rPr>
              <w:t>按示教教室、会诊会议、直播观看和管理看板估算访问压力。</w:t>
            </w:r>
          </w:p>
        </w:tc>
        <w:tc>
          <w:tcPr>
            <w:tcW w:type="dxa" w:w="2891"/>
            <w:vAlign w:val="center"/>
          </w:tcPr>
          <w:p>
            <w:pPr>
              <w:spacing w:after="0" w:line="300" w:lineRule="auto"/>
            </w:pPr>
            <w:r>
              <w:rPr>
                <w:rFonts w:ascii="宋体" w:hAnsi="宋体" w:eastAsia="宋体"/>
                <w:sz w:val="19"/>
              </w:rPr>
              <w:t>课程计划、会诊计划、培训规模。</w:t>
            </w:r>
          </w:p>
        </w:tc>
      </w:tr>
    </w:tbl>
    <w:p>
      <w:pPr>
        <w:spacing w:after="40"/>
      </w:pPr>
    </w:p>
    <w:p>
      <w:pPr>
        <w:pStyle w:val="Heading2"/>
      </w:pPr>
      <w:r>
        <w:t>（三）软件配置参考</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984"/>
            <w:shd w:fill="EAF2F8"/>
            <w:vAlign w:val="center"/>
          </w:tcPr>
          <w:p>
            <w:pPr>
              <w:spacing w:after="0"/>
              <w:jc w:val="center"/>
            </w:pPr>
            <w:r>
              <w:rPr>
                <w:rFonts w:ascii="宋体" w:hAnsi="宋体" w:eastAsia="黑体"/>
                <w:b/>
                <w:sz w:val="20"/>
              </w:rPr>
              <w:t>软件项</w:t>
            </w:r>
          </w:p>
        </w:tc>
        <w:tc>
          <w:tcPr>
            <w:tcW w:type="dxa" w:w="3968"/>
            <w:shd w:fill="EAF2F8"/>
            <w:vAlign w:val="center"/>
          </w:tcPr>
          <w:p>
            <w:pPr>
              <w:spacing w:after="0"/>
              <w:jc w:val="center"/>
            </w:pPr>
            <w:r>
              <w:rPr>
                <w:rFonts w:ascii="宋体" w:hAnsi="宋体" w:eastAsia="黑体"/>
                <w:b/>
                <w:sz w:val="20"/>
              </w:rPr>
              <w:t>主要内容</w:t>
            </w:r>
          </w:p>
        </w:tc>
        <w:tc>
          <w:tcPr>
            <w:tcW w:type="dxa" w:w="3061"/>
            <w:shd w:fill="EAF2F8"/>
            <w:vAlign w:val="center"/>
          </w:tcPr>
          <w:p>
            <w:pPr>
              <w:spacing w:after="0"/>
              <w:jc w:val="center"/>
            </w:pPr>
            <w:r>
              <w:rPr>
                <w:rFonts w:ascii="宋体" w:hAnsi="宋体" w:eastAsia="黑体"/>
                <w:b/>
                <w:sz w:val="20"/>
              </w:rPr>
              <w:t>配置说明</w:t>
            </w:r>
          </w:p>
        </w:tc>
      </w:tr>
      <w:tr>
        <w:tc>
          <w:tcPr>
            <w:tcW w:type="dxa" w:w="1984"/>
            <w:vAlign w:val="center"/>
          </w:tcPr>
          <w:p>
            <w:pPr>
              <w:spacing w:after="0" w:line="300" w:lineRule="auto"/>
              <w:jc w:val="center"/>
            </w:pPr>
            <w:r>
              <w:rPr>
                <w:rFonts w:ascii="宋体" w:hAnsi="宋体" w:eastAsia="宋体"/>
                <w:sz w:val="19"/>
              </w:rPr>
              <w:t>业务管理平台</w:t>
            </w:r>
          </w:p>
        </w:tc>
        <w:tc>
          <w:tcPr>
            <w:tcW w:type="dxa" w:w="3968"/>
            <w:vAlign w:val="center"/>
          </w:tcPr>
          <w:p>
            <w:pPr>
              <w:spacing w:after="0" w:line="300" w:lineRule="auto"/>
            </w:pPr>
            <w:r>
              <w:rPr>
                <w:rFonts w:ascii="宋体" w:hAnsi="宋体" w:eastAsia="宋体"/>
                <w:sz w:val="19"/>
              </w:rPr>
              <w:t>手术示教系统业务配置、流程管理、终端管理和统计查询。</w:t>
            </w:r>
          </w:p>
        </w:tc>
        <w:tc>
          <w:tcPr>
            <w:tcW w:type="dxa" w:w="3061"/>
            <w:vAlign w:val="center"/>
          </w:tcPr>
          <w:p>
            <w:pPr>
              <w:spacing w:after="0" w:line="300" w:lineRule="auto"/>
            </w:pPr>
            <w:r>
              <w:rPr>
                <w:rFonts w:ascii="宋体" w:hAnsi="宋体" w:eastAsia="宋体"/>
                <w:sz w:val="19"/>
              </w:rPr>
              <w:t>按项目范围启用对应模块。</w:t>
            </w:r>
          </w:p>
        </w:tc>
      </w:tr>
      <w:tr>
        <w:tc>
          <w:tcPr>
            <w:tcW w:type="dxa" w:w="1984"/>
            <w:vAlign w:val="center"/>
          </w:tcPr>
          <w:p>
            <w:pPr>
              <w:spacing w:after="0" w:line="300" w:lineRule="auto"/>
              <w:jc w:val="center"/>
            </w:pPr>
            <w:r>
              <w:rPr>
                <w:rFonts w:ascii="宋体" w:hAnsi="宋体" w:eastAsia="宋体"/>
                <w:sz w:val="19"/>
              </w:rPr>
              <w:t>权限与日志模块</w:t>
            </w:r>
          </w:p>
        </w:tc>
        <w:tc>
          <w:tcPr>
            <w:tcW w:type="dxa" w:w="3968"/>
            <w:vAlign w:val="center"/>
          </w:tcPr>
          <w:p>
            <w:pPr>
              <w:spacing w:after="0" w:line="300" w:lineRule="auto"/>
            </w:pPr>
            <w:r>
              <w:rPr>
                <w:rFonts w:ascii="宋体" w:hAnsi="宋体" w:eastAsia="宋体"/>
                <w:sz w:val="19"/>
              </w:rPr>
              <w:t>账号、角色、授权、操作记录、访问记录和异常记录。</w:t>
            </w:r>
          </w:p>
        </w:tc>
        <w:tc>
          <w:tcPr>
            <w:tcW w:type="dxa" w:w="3061"/>
            <w:vAlign w:val="center"/>
          </w:tcPr>
          <w:p>
            <w:pPr>
              <w:spacing w:after="0" w:line="300" w:lineRule="auto"/>
            </w:pPr>
            <w:r>
              <w:rPr>
                <w:rFonts w:ascii="宋体" w:hAnsi="宋体" w:eastAsia="宋体"/>
                <w:sz w:val="19"/>
              </w:rPr>
              <w:t>按医院组织架构和安全制度配置。</w:t>
            </w:r>
          </w:p>
        </w:tc>
      </w:tr>
      <w:tr>
        <w:tc>
          <w:tcPr>
            <w:tcW w:type="dxa" w:w="1984"/>
            <w:vAlign w:val="center"/>
          </w:tcPr>
          <w:p>
            <w:pPr>
              <w:spacing w:after="0" w:line="300" w:lineRule="auto"/>
              <w:jc w:val="center"/>
            </w:pPr>
            <w:r>
              <w:rPr>
                <w:rFonts w:ascii="宋体" w:hAnsi="宋体" w:eastAsia="宋体"/>
                <w:sz w:val="19"/>
              </w:rPr>
              <w:t>资源与存储模块</w:t>
            </w:r>
          </w:p>
        </w:tc>
        <w:tc>
          <w:tcPr>
            <w:tcW w:type="dxa" w:w="3968"/>
            <w:vAlign w:val="center"/>
          </w:tcPr>
          <w:p>
            <w:pPr>
              <w:spacing w:after="0" w:line="300" w:lineRule="auto"/>
            </w:pPr>
            <w:r>
              <w:rPr>
                <w:rFonts w:ascii="宋体" w:hAnsi="宋体" w:eastAsia="宋体"/>
                <w:sz w:val="19"/>
              </w:rPr>
              <w:t>视频、图片、文件、记录、统计数据和备份策略。</w:t>
            </w:r>
          </w:p>
        </w:tc>
        <w:tc>
          <w:tcPr>
            <w:tcW w:type="dxa" w:w="3061"/>
            <w:vAlign w:val="center"/>
          </w:tcPr>
          <w:p>
            <w:pPr>
              <w:spacing w:after="0" w:line="300" w:lineRule="auto"/>
            </w:pPr>
            <w:r>
              <w:rPr>
                <w:rFonts w:ascii="宋体" w:hAnsi="宋体" w:eastAsia="宋体"/>
                <w:sz w:val="19"/>
              </w:rPr>
              <w:t>按保存周期、码率和并发量核算。</w:t>
            </w:r>
          </w:p>
        </w:tc>
      </w:tr>
      <w:tr>
        <w:tc>
          <w:tcPr>
            <w:tcW w:type="dxa" w:w="1984"/>
            <w:vAlign w:val="center"/>
          </w:tcPr>
          <w:p>
            <w:pPr>
              <w:spacing w:after="0" w:line="300" w:lineRule="auto"/>
              <w:jc w:val="center"/>
            </w:pPr>
            <w:r>
              <w:rPr>
                <w:rFonts w:ascii="宋体" w:hAnsi="宋体" w:eastAsia="宋体"/>
                <w:sz w:val="19"/>
              </w:rPr>
              <w:t>接口服务模块</w:t>
            </w:r>
          </w:p>
        </w:tc>
        <w:tc>
          <w:tcPr>
            <w:tcW w:type="dxa" w:w="3968"/>
            <w:vAlign w:val="center"/>
          </w:tcPr>
          <w:p>
            <w:pPr>
              <w:spacing w:after="0" w:line="300" w:lineRule="auto"/>
            </w:pPr>
            <w:r>
              <w:rPr>
                <w:rFonts w:ascii="宋体" w:hAnsi="宋体" w:eastAsia="宋体"/>
                <w:sz w:val="19"/>
              </w:rPr>
              <w:t>与医院相关系统进行授权范围内的数据交换或页面联动。</w:t>
            </w:r>
          </w:p>
        </w:tc>
        <w:tc>
          <w:tcPr>
            <w:tcW w:type="dxa" w:w="3061"/>
            <w:vAlign w:val="center"/>
          </w:tcPr>
          <w:p>
            <w:pPr>
              <w:spacing w:after="0" w:line="300" w:lineRule="auto"/>
            </w:pPr>
            <w:r>
              <w:rPr>
                <w:rFonts w:ascii="宋体" w:hAnsi="宋体" w:eastAsia="宋体"/>
                <w:sz w:val="19"/>
              </w:rPr>
              <w:t>以接口清单、联调记录和验收结果为准。</w:t>
            </w:r>
          </w:p>
        </w:tc>
      </w:tr>
    </w:tbl>
    <w:p>
      <w:pPr>
        <w:spacing w:after="40"/>
      </w:pPr>
    </w:p>
    <w:p>
      <w:pPr>
        <w:pStyle w:val="Heading1"/>
      </w:pPr>
      <w:r>
        <w:t>八、接口与系统集成边界</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984"/>
            <w:shd w:fill="EAF2F8"/>
            <w:vAlign w:val="center"/>
          </w:tcPr>
          <w:p>
            <w:pPr>
              <w:spacing w:after="0"/>
              <w:jc w:val="center"/>
            </w:pPr>
            <w:r>
              <w:rPr>
                <w:rFonts w:ascii="宋体" w:hAnsi="宋体" w:eastAsia="黑体"/>
                <w:b/>
                <w:sz w:val="20"/>
              </w:rPr>
              <w:t>对接对象</w:t>
            </w:r>
          </w:p>
        </w:tc>
        <w:tc>
          <w:tcPr>
            <w:tcW w:type="dxa" w:w="3628"/>
            <w:shd w:fill="EAF2F8"/>
            <w:vAlign w:val="center"/>
          </w:tcPr>
          <w:p>
            <w:pPr>
              <w:spacing w:after="0"/>
              <w:jc w:val="center"/>
            </w:pPr>
            <w:r>
              <w:rPr>
                <w:rFonts w:ascii="宋体" w:hAnsi="宋体" w:eastAsia="黑体"/>
                <w:b/>
                <w:sz w:val="20"/>
              </w:rPr>
              <w:t>对接内容</w:t>
            </w:r>
          </w:p>
        </w:tc>
        <w:tc>
          <w:tcPr>
            <w:tcW w:type="dxa" w:w="3401"/>
            <w:shd w:fill="EAF2F8"/>
            <w:vAlign w:val="center"/>
          </w:tcPr>
          <w:p>
            <w:pPr>
              <w:spacing w:after="0"/>
              <w:jc w:val="center"/>
            </w:pPr>
            <w:r>
              <w:rPr>
                <w:rFonts w:ascii="宋体" w:hAnsi="宋体" w:eastAsia="黑体"/>
                <w:b/>
                <w:sz w:val="20"/>
              </w:rPr>
              <w:t>边界说明</w:t>
            </w:r>
          </w:p>
        </w:tc>
      </w:tr>
      <w:tr>
        <w:tc>
          <w:tcPr>
            <w:tcW w:type="dxa" w:w="1984"/>
            <w:vAlign w:val="center"/>
          </w:tcPr>
          <w:p>
            <w:pPr>
              <w:spacing w:after="0" w:line="300" w:lineRule="auto"/>
              <w:jc w:val="center"/>
            </w:pPr>
            <w:r>
              <w:rPr>
                <w:rFonts w:ascii="宋体" w:hAnsi="宋体" w:eastAsia="宋体"/>
                <w:sz w:val="19"/>
              </w:rPr>
              <w:t>数字化手术室系统</w:t>
            </w:r>
          </w:p>
        </w:tc>
        <w:tc>
          <w:tcPr>
            <w:tcW w:type="dxa" w:w="3628"/>
            <w:vAlign w:val="center"/>
          </w:tcPr>
          <w:p>
            <w:pPr>
              <w:spacing w:after="0" w:line="300" w:lineRule="auto"/>
            </w:pPr>
            <w:r>
              <w:rPr>
                <w:rFonts w:ascii="宋体" w:hAnsi="宋体" w:eastAsia="宋体"/>
                <w:sz w:val="19"/>
              </w:rPr>
              <w:t>可复用术中影像信号，减少重复采集和重复布线。</w:t>
            </w:r>
          </w:p>
        </w:tc>
        <w:tc>
          <w:tcPr>
            <w:tcW w:type="dxa" w:w="3401"/>
            <w:vAlign w:val="center"/>
          </w:tcPr>
          <w:p>
            <w:pPr>
              <w:spacing w:after="0" w:line="300" w:lineRule="auto"/>
            </w:pPr>
            <w:r>
              <w:rPr>
                <w:rFonts w:ascii="宋体" w:hAnsi="宋体" w:eastAsia="宋体"/>
                <w:sz w:val="19"/>
              </w:rPr>
              <w:t>围绕手术示教系统业务必要性实施，接口新增或变更应另行确认。</w:t>
            </w:r>
          </w:p>
        </w:tc>
      </w:tr>
      <w:tr>
        <w:tc>
          <w:tcPr>
            <w:tcW w:type="dxa" w:w="1984"/>
            <w:vAlign w:val="center"/>
          </w:tcPr>
          <w:p>
            <w:pPr>
              <w:spacing w:after="0" w:line="300" w:lineRule="auto"/>
              <w:jc w:val="center"/>
            </w:pPr>
            <w:r>
              <w:rPr>
                <w:rFonts w:ascii="宋体" w:hAnsi="宋体" w:eastAsia="宋体"/>
                <w:sz w:val="19"/>
              </w:rPr>
              <w:t>院内账号或统一认证</w:t>
            </w:r>
          </w:p>
        </w:tc>
        <w:tc>
          <w:tcPr>
            <w:tcW w:type="dxa" w:w="3628"/>
            <w:vAlign w:val="center"/>
          </w:tcPr>
          <w:p>
            <w:pPr>
              <w:spacing w:after="0" w:line="300" w:lineRule="auto"/>
            </w:pPr>
            <w:r>
              <w:rPr>
                <w:rFonts w:ascii="宋体" w:hAnsi="宋体" w:eastAsia="宋体"/>
                <w:sz w:val="19"/>
              </w:rPr>
              <w:t>按医院条件实现账号管理或单点登录，不强制要求。</w:t>
            </w:r>
          </w:p>
        </w:tc>
        <w:tc>
          <w:tcPr>
            <w:tcW w:type="dxa" w:w="3401"/>
            <w:vAlign w:val="center"/>
          </w:tcPr>
          <w:p>
            <w:pPr>
              <w:spacing w:after="0" w:line="300" w:lineRule="auto"/>
            </w:pPr>
            <w:r>
              <w:rPr>
                <w:rFonts w:ascii="宋体" w:hAnsi="宋体" w:eastAsia="宋体"/>
                <w:sz w:val="19"/>
              </w:rPr>
              <w:t>按医院统一身份管理策略实施，权限范围需经院方确认。</w:t>
            </w:r>
          </w:p>
        </w:tc>
      </w:tr>
      <w:tr>
        <w:tc>
          <w:tcPr>
            <w:tcW w:type="dxa" w:w="1984"/>
            <w:vAlign w:val="center"/>
          </w:tcPr>
          <w:p>
            <w:pPr>
              <w:spacing w:after="0" w:line="300" w:lineRule="auto"/>
              <w:jc w:val="center"/>
            </w:pPr>
            <w:r>
              <w:rPr>
                <w:rFonts w:ascii="宋体" w:hAnsi="宋体" w:eastAsia="宋体"/>
                <w:sz w:val="19"/>
              </w:rPr>
              <w:t>PACS/病例资料</w:t>
            </w:r>
          </w:p>
        </w:tc>
        <w:tc>
          <w:tcPr>
            <w:tcW w:type="dxa" w:w="3628"/>
            <w:vAlign w:val="center"/>
          </w:tcPr>
          <w:p>
            <w:pPr>
              <w:spacing w:after="0" w:line="300" w:lineRule="auto"/>
            </w:pPr>
            <w:r>
              <w:rPr>
                <w:rFonts w:ascii="宋体" w:hAnsi="宋体" w:eastAsia="宋体"/>
                <w:sz w:val="19"/>
              </w:rPr>
              <w:t>需要展示资料时应按授权范围调取，避免公开患者敏感信息。</w:t>
            </w:r>
          </w:p>
        </w:tc>
        <w:tc>
          <w:tcPr>
            <w:tcW w:type="dxa" w:w="3401"/>
            <w:vAlign w:val="center"/>
          </w:tcPr>
          <w:p>
            <w:pPr>
              <w:spacing w:after="0" w:line="300" w:lineRule="auto"/>
            </w:pPr>
            <w:r>
              <w:rPr>
                <w:rFonts w:ascii="宋体" w:hAnsi="宋体" w:eastAsia="宋体"/>
                <w:sz w:val="19"/>
              </w:rPr>
              <w:t>以医院授权、原系统接口能力、字段清单和联调记录为准，不超范围读取或写入。</w:t>
            </w:r>
          </w:p>
        </w:tc>
      </w:tr>
      <w:tr>
        <w:tc>
          <w:tcPr>
            <w:tcW w:type="dxa" w:w="1984"/>
            <w:vAlign w:val="center"/>
          </w:tcPr>
          <w:p>
            <w:pPr>
              <w:spacing w:after="0" w:line="300" w:lineRule="auto"/>
              <w:jc w:val="center"/>
            </w:pPr>
            <w:r>
              <w:rPr>
                <w:rFonts w:ascii="宋体" w:hAnsi="宋体" w:eastAsia="宋体"/>
                <w:sz w:val="19"/>
              </w:rPr>
              <w:t>视频协作平台</w:t>
            </w:r>
          </w:p>
        </w:tc>
        <w:tc>
          <w:tcPr>
            <w:tcW w:type="dxa" w:w="3628"/>
            <w:vAlign w:val="center"/>
          </w:tcPr>
          <w:p>
            <w:pPr>
              <w:spacing w:after="0" w:line="300" w:lineRule="auto"/>
            </w:pPr>
            <w:r>
              <w:rPr>
                <w:rFonts w:ascii="宋体" w:hAnsi="宋体" w:eastAsia="宋体"/>
                <w:sz w:val="19"/>
              </w:rPr>
              <w:t>可将课程、直播、录制资源纳入院内视频协作平台统一管理。</w:t>
            </w:r>
          </w:p>
        </w:tc>
        <w:tc>
          <w:tcPr>
            <w:tcW w:type="dxa" w:w="3401"/>
            <w:vAlign w:val="center"/>
          </w:tcPr>
          <w:p>
            <w:pPr>
              <w:spacing w:after="0" w:line="300" w:lineRule="auto"/>
            </w:pPr>
            <w:r>
              <w:rPr>
                <w:rFonts w:ascii="宋体" w:hAnsi="宋体" w:eastAsia="宋体"/>
                <w:sz w:val="19"/>
              </w:rPr>
              <w:t>可采用链接、页面嵌入或接口方式，具体集成深度按项目范围确认。</w:t>
            </w:r>
          </w:p>
        </w:tc>
      </w:tr>
    </w:tbl>
    <w:p>
      <w:pPr>
        <w:spacing w:after="40"/>
      </w:pPr>
    </w:p>
    <w:p>
      <w:pPr>
        <w:pStyle w:val="Heading2"/>
      </w:pPr>
      <w:r>
        <w:t>（一）接口字段级边界参考</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197"/>
        <w:gridCol w:w="2197"/>
        <w:gridCol w:w="2197"/>
        <w:gridCol w:w="2197"/>
      </w:tblGrid>
      <w:tr>
        <w:tc>
          <w:tcPr>
            <w:tcW w:type="dxa" w:w="1927"/>
            <w:shd w:fill="EAF2F8"/>
            <w:vAlign w:val="center"/>
          </w:tcPr>
          <w:p>
            <w:pPr>
              <w:spacing w:after="0"/>
              <w:jc w:val="center"/>
            </w:pPr>
            <w:r>
              <w:rPr>
                <w:rFonts w:ascii="宋体" w:hAnsi="宋体" w:eastAsia="黑体"/>
                <w:b/>
                <w:sz w:val="20"/>
              </w:rPr>
              <w:t>数据或接口类别</w:t>
            </w:r>
          </w:p>
        </w:tc>
        <w:tc>
          <w:tcPr>
            <w:tcW w:type="dxa" w:w="2437"/>
            <w:shd w:fill="EAF2F8"/>
            <w:vAlign w:val="center"/>
          </w:tcPr>
          <w:p>
            <w:pPr>
              <w:spacing w:after="0"/>
              <w:jc w:val="center"/>
            </w:pPr>
            <w:r>
              <w:rPr>
                <w:rFonts w:ascii="宋体" w:hAnsi="宋体" w:eastAsia="黑体"/>
                <w:b/>
                <w:sz w:val="20"/>
              </w:rPr>
              <w:t>典型字段或内容</w:t>
            </w:r>
          </w:p>
        </w:tc>
        <w:tc>
          <w:tcPr>
            <w:tcW w:type="dxa" w:w="2381"/>
            <w:shd w:fill="EAF2F8"/>
            <w:vAlign w:val="center"/>
          </w:tcPr>
          <w:p>
            <w:pPr>
              <w:spacing w:after="0"/>
              <w:jc w:val="center"/>
            </w:pPr>
            <w:r>
              <w:rPr>
                <w:rFonts w:ascii="宋体" w:hAnsi="宋体" w:eastAsia="黑体"/>
                <w:b/>
                <w:sz w:val="20"/>
              </w:rPr>
              <w:t>用途</w:t>
            </w:r>
          </w:p>
        </w:tc>
        <w:tc>
          <w:tcPr>
            <w:tcW w:type="dxa" w:w="2267"/>
            <w:shd w:fill="EAF2F8"/>
            <w:vAlign w:val="center"/>
          </w:tcPr>
          <w:p>
            <w:pPr>
              <w:spacing w:after="0"/>
              <w:jc w:val="center"/>
            </w:pPr>
            <w:r>
              <w:rPr>
                <w:rFonts w:ascii="宋体" w:hAnsi="宋体" w:eastAsia="黑体"/>
                <w:b/>
                <w:sz w:val="20"/>
              </w:rPr>
              <w:t>边界说明</w:t>
            </w:r>
          </w:p>
        </w:tc>
      </w:tr>
      <w:tr>
        <w:tc>
          <w:tcPr>
            <w:tcW w:type="dxa" w:w="1927"/>
            <w:vAlign w:val="center"/>
          </w:tcPr>
          <w:p>
            <w:pPr>
              <w:spacing w:after="0" w:line="300" w:lineRule="auto"/>
            </w:pPr>
            <w:r>
              <w:rPr>
                <w:rFonts w:ascii="宋体" w:hAnsi="宋体" w:eastAsia="宋体"/>
                <w:sz w:val="19"/>
              </w:rPr>
              <w:t>人员/科室基础数据</w:t>
            </w:r>
          </w:p>
        </w:tc>
        <w:tc>
          <w:tcPr>
            <w:tcW w:type="dxa" w:w="2437"/>
            <w:vAlign w:val="center"/>
          </w:tcPr>
          <w:p>
            <w:pPr>
              <w:spacing w:after="0" w:line="300" w:lineRule="auto"/>
            </w:pPr>
            <w:r>
              <w:rPr>
                <w:rFonts w:ascii="宋体" w:hAnsi="宋体" w:eastAsia="宋体"/>
                <w:sz w:val="19"/>
              </w:rPr>
              <w:t>姓名或工号、科室、职务、角色、状态。</w:t>
            </w:r>
          </w:p>
        </w:tc>
        <w:tc>
          <w:tcPr>
            <w:tcW w:type="dxa" w:w="2381"/>
            <w:vAlign w:val="center"/>
          </w:tcPr>
          <w:p>
            <w:pPr>
              <w:spacing w:after="0" w:line="300" w:lineRule="auto"/>
            </w:pPr>
            <w:r>
              <w:rPr>
                <w:rFonts w:ascii="宋体" w:hAnsi="宋体" w:eastAsia="宋体"/>
                <w:sz w:val="19"/>
              </w:rPr>
              <w:t>用于账号授权、科室分组、统计和日志归属。</w:t>
            </w:r>
          </w:p>
        </w:tc>
        <w:tc>
          <w:tcPr>
            <w:tcW w:type="dxa" w:w="2267"/>
            <w:vAlign w:val="center"/>
          </w:tcPr>
          <w:p>
            <w:pPr>
              <w:spacing w:after="0" w:line="300" w:lineRule="auto"/>
            </w:pPr>
            <w:r>
              <w:rPr>
                <w:rFonts w:ascii="宋体" w:hAnsi="宋体" w:eastAsia="宋体"/>
                <w:sz w:val="19"/>
              </w:rPr>
              <w:t>可接口同步或人工维护；涉及人员信息需授权。</w:t>
            </w:r>
          </w:p>
        </w:tc>
      </w:tr>
      <w:tr>
        <w:tc>
          <w:tcPr>
            <w:tcW w:type="dxa" w:w="1927"/>
            <w:vAlign w:val="center"/>
          </w:tcPr>
          <w:p>
            <w:pPr>
              <w:spacing w:after="0" w:line="300" w:lineRule="auto"/>
            </w:pPr>
            <w:r>
              <w:rPr>
                <w:rFonts w:ascii="宋体" w:hAnsi="宋体" w:eastAsia="宋体"/>
                <w:sz w:val="19"/>
              </w:rPr>
              <w:t>患者与手术基础信息</w:t>
            </w:r>
          </w:p>
        </w:tc>
        <w:tc>
          <w:tcPr>
            <w:tcW w:type="dxa" w:w="2437"/>
            <w:vAlign w:val="center"/>
          </w:tcPr>
          <w:p>
            <w:pPr>
              <w:spacing w:after="0" w:line="300" w:lineRule="auto"/>
            </w:pPr>
            <w:r>
              <w:rPr>
                <w:rFonts w:ascii="宋体" w:hAnsi="宋体" w:eastAsia="宋体"/>
                <w:sz w:val="19"/>
              </w:rPr>
              <w:t>患者标识、手术名称、手术间、术者、时间、科室等必要字段。</w:t>
            </w:r>
          </w:p>
        </w:tc>
        <w:tc>
          <w:tcPr>
            <w:tcW w:type="dxa" w:w="2381"/>
            <w:vAlign w:val="center"/>
          </w:tcPr>
          <w:p>
            <w:pPr>
              <w:spacing w:after="0" w:line="300" w:lineRule="auto"/>
            </w:pPr>
            <w:r>
              <w:rPr>
                <w:rFonts w:ascii="宋体" w:hAnsi="宋体" w:eastAsia="宋体"/>
                <w:sz w:val="19"/>
              </w:rPr>
              <w:t>用于资料归档、会诊关联、示教课程和手术间状态。</w:t>
            </w:r>
          </w:p>
        </w:tc>
        <w:tc>
          <w:tcPr>
            <w:tcW w:type="dxa" w:w="2267"/>
            <w:vAlign w:val="center"/>
          </w:tcPr>
          <w:p>
            <w:pPr>
              <w:spacing w:after="0" w:line="300" w:lineRule="auto"/>
            </w:pPr>
            <w:r>
              <w:rPr>
                <w:rFonts w:ascii="宋体" w:hAnsi="宋体" w:eastAsia="宋体"/>
                <w:sz w:val="19"/>
              </w:rPr>
              <w:t>仅获取项目必要字段，避免扩大读取病历内容。</w:t>
            </w:r>
          </w:p>
        </w:tc>
      </w:tr>
      <w:tr>
        <w:tc>
          <w:tcPr>
            <w:tcW w:type="dxa" w:w="1927"/>
            <w:vAlign w:val="center"/>
          </w:tcPr>
          <w:p>
            <w:pPr>
              <w:spacing w:after="0" w:line="300" w:lineRule="auto"/>
            </w:pPr>
            <w:r>
              <w:rPr>
                <w:rFonts w:ascii="宋体" w:hAnsi="宋体" w:eastAsia="宋体"/>
                <w:sz w:val="19"/>
              </w:rPr>
              <w:t>影像或检查资料</w:t>
            </w:r>
          </w:p>
        </w:tc>
        <w:tc>
          <w:tcPr>
            <w:tcW w:type="dxa" w:w="2437"/>
            <w:vAlign w:val="center"/>
          </w:tcPr>
          <w:p>
            <w:pPr>
              <w:spacing w:after="0" w:line="300" w:lineRule="auto"/>
            </w:pPr>
            <w:r>
              <w:rPr>
                <w:rFonts w:ascii="宋体" w:hAnsi="宋体" w:eastAsia="宋体"/>
                <w:sz w:val="19"/>
              </w:rPr>
              <w:t>PACS/RIS/病理/心电相关影像、报告或调阅入口。</w:t>
            </w:r>
          </w:p>
        </w:tc>
        <w:tc>
          <w:tcPr>
            <w:tcW w:type="dxa" w:w="2381"/>
            <w:vAlign w:val="center"/>
          </w:tcPr>
          <w:p>
            <w:pPr>
              <w:spacing w:after="0" w:line="300" w:lineRule="auto"/>
            </w:pPr>
            <w:r>
              <w:rPr>
                <w:rFonts w:ascii="宋体" w:hAnsi="宋体" w:eastAsia="宋体"/>
                <w:sz w:val="19"/>
              </w:rPr>
              <w:t>用于术中讨论、远程会诊、教学或病例复盘。</w:t>
            </w:r>
          </w:p>
        </w:tc>
        <w:tc>
          <w:tcPr>
            <w:tcW w:type="dxa" w:w="2267"/>
            <w:vAlign w:val="center"/>
          </w:tcPr>
          <w:p>
            <w:pPr>
              <w:spacing w:after="0" w:line="300" w:lineRule="auto"/>
            </w:pPr>
            <w:r>
              <w:rPr>
                <w:rFonts w:ascii="宋体" w:hAnsi="宋体" w:eastAsia="宋体"/>
                <w:sz w:val="19"/>
              </w:rPr>
              <w:t>优先只读调阅；原系统权限和审计规则不应被绕过。</w:t>
            </w:r>
          </w:p>
        </w:tc>
      </w:tr>
      <w:tr>
        <w:tc>
          <w:tcPr>
            <w:tcW w:type="dxa" w:w="1927"/>
            <w:vAlign w:val="center"/>
          </w:tcPr>
          <w:p>
            <w:pPr>
              <w:spacing w:after="0" w:line="300" w:lineRule="auto"/>
            </w:pPr>
            <w:r>
              <w:rPr>
                <w:rFonts w:ascii="宋体" w:hAnsi="宋体" w:eastAsia="宋体"/>
                <w:sz w:val="19"/>
              </w:rPr>
              <w:t>排班/预约信息</w:t>
            </w:r>
          </w:p>
        </w:tc>
        <w:tc>
          <w:tcPr>
            <w:tcW w:type="dxa" w:w="2437"/>
            <w:vAlign w:val="center"/>
          </w:tcPr>
          <w:p>
            <w:pPr>
              <w:spacing w:after="0" w:line="300" w:lineRule="auto"/>
            </w:pPr>
            <w:r>
              <w:rPr>
                <w:rFonts w:ascii="宋体" w:hAnsi="宋体" w:eastAsia="宋体"/>
                <w:sz w:val="19"/>
              </w:rPr>
              <w:t>手术排班、会诊预约、探视预约、人员授权或临时准入信息。</w:t>
            </w:r>
          </w:p>
        </w:tc>
        <w:tc>
          <w:tcPr>
            <w:tcW w:type="dxa" w:w="2381"/>
            <w:vAlign w:val="center"/>
          </w:tcPr>
          <w:p>
            <w:pPr>
              <w:spacing w:after="0" w:line="300" w:lineRule="auto"/>
            </w:pPr>
            <w:r>
              <w:rPr>
                <w:rFonts w:ascii="宋体" w:hAnsi="宋体" w:eastAsia="宋体"/>
                <w:sz w:val="19"/>
              </w:rPr>
              <w:t>用于流程触发、权限判断和状态展示。</w:t>
            </w:r>
          </w:p>
        </w:tc>
        <w:tc>
          <w:tcPr>
            <w:tcW w:type="dxa" w:w="2267"/>
            <w:vAlign w:val="center"/>
          </w:tcPr>
          <w:p>
            <w:pPr>
              <w:spacing w:after="0" w:line="300" w:lineRule="auto"/>
            </w:pPr>
            <w:r>
              <w:rPr>
                <w:rFonts w:ascii="宋体" w:hAnsi="宋体" w:eastAsia="宋体"/>
                <w:sz w:val="19"/>
              </w:rPr>
              <w:t>排班变更和取消规则需与院方确认。</w:t>
            </w:r>
          </w:p>
        </w:tc>
      </w:tr>
      <w:tr>
        <w:tc>
          <w:tcPr>
            <w:tcW w:type="dxa" w:w="1927"/>
            <w:vAlign w:val="center"/>
          </w:tcPr>
          <w:p>
            <w:pPr>
              <w:spacing w:after="0" w:line="300" w:lineRule="auto"/>
            </w:pPr>
            <w:r>
              <w:rPr>
                <w:rFonts w:ascii="宋体" w:hAnsi="宋体" w:eastAsia="宋体"/>
                <w:sz w:val="19"/>
              </w:rPr>
              <w:t>日志与归档信息</w:t>
            </w:r>
          </w:p>
        </w:tc>
        <w:tc>
          <w:tcPr>
            <w:tcW w:type="dxa" w:w="2437"/>
            <w:vAlign w:val="center"/>
          </w:tcPr>
          <w:p>
            <w:pPr>
              <w:spacing w:after="0" w:line="300" w:lineRule="auto"/>
            </w:pPr>
            <w:r>
              <w:rPr>
                <w:rFonts w:ascii="宋体" w:hAnsi="宋体" w:eastAsia="宋体"/>
                <w:sz w:val="19"/>
              </w:rPr>
              <w:t>访问日志、操作日志、资源编号、会议记录、归档状态。</w:t>
            </w:r>
          </w:p>
        </w:tc>
        <w:tc>
          <w:tcPr>
            <w:tcW w:type="dxa" w:w="2381"/>
            <w:vAlign w:val="center"/>
          </w:tcPr>
          <w:p>
            <w:pPr>
              <w:spacing w:after="0" w:line="300" w:lineRule="auto"/>
            </w:pPr>
            <w:r>
              <w:rPr>
                <w:rFonts w:ascii="宋体" w:hAnsi="宋体" w:eastAsia="宋体"/>
                <w:sz w:val="19"/>
              </w:rPr>
              <w:t>用于追溯、运维、验收和管理统计。</w:t>
            </w:r>
          </w:p>
        </w:tc>
        <w:tc>
          <w:tcPr>
            <w:tcW w:type="dxa" w:w="2267"/>
            <w:vAlign w:val="center"/>
          </w:tcPr>
          <w:p>
            <w:pPr>
              <w:spacing w:after="0" w:line="300" w:lineRule="auto"/>
            </w:pPr>
            <w:r>
              <w:rPr>
                <w:rFonts w:ascii="宋体" w:hAnsi="宋体" w:eastAsia="宋体"/>
                <w:sz w:val="19"/>
              </w:rPr>
              <w:t>保存周期和调阅权限由医院制度确定。</w:t>
            </w:r>
          </w:p>
        </w:tc>
      </w:tr>
    </w:tbl>
    <w:p>
      <w:pPr>
        <w:spacing w:after="40"/>
      </w:pPr>
    </w:p>
    <w:p>
      <w:pPr>
        <w:pStyle w:val="Heading2"/>
      </w:pPr>
      <w:r>
        <w:t>（二）接口实施原则</w:t>
      </w:r>
    </w:p>
    <w:p>
      <w:pPr>
        <w:spacing w:line="324" w:lineRule="auto" w:after="80"/>
        <w:ind w:left="480" w:hanging="360"/>
      </w:pPr>
      <w:r>
        <w:rPr>
          <w:rFonts w:ascii="宋体" w:hAnsi="宋体" w:eastAsia="宋体"/>
          <w:sz w:val="21"/>
        </w:rPr>
        <w:t>1. 接口对接应由医院信息科、原系统厂商、项目实施方共同确认，不应在投标文件中承诺未验证字段或未开放能力。</w:t>
      </w:r>
    </w:p>
    <w:p>
      <w:pPr>
        <w:spacing w:line="324" w:lineRule="auto" w:after="80"/>
        <w:ind w:left="480" w:hanging="360"/>
      </w:pPr>
      <w:r>
        <w:rPr>
          <w:rFonts w:ascii="宋体" w:hAnsi="宋体" w:eastAsia="宋体"/>
          <w:sz w:val="21"/>
        </w:rPr>
        <w:t>2. 接口数据应遵循最小必要原则，只获取本项目业务所需字段。</w:t>
      </w:r>
    </w:p>
    <w:p>
      <w:pPr>
        <w:spacing w:line="324" w:lineRule="auto" w:after="80"/>
        <w:ind w:left="480" w:hanging="360"/>
      </w:pPr>
      <w:r>
        <w:rPr>
          <w:rFonts w:ascii="宋体" w:hAnsi="宋体" w:eastAsia="宋体"/>
          <w:sz w:val="21"/>
        </w:rPr>
        <w:t>3. 写入临床主系统、修改原系统数据或改变原医疗设备链路的行为，应经过医院审批和专项测试。</w:t>
      </w:r>
    </w:p>
    <w:p>
      <w:pPr>
        <w:spacing w:line="324" w:lineRule="auto" w:after="80"/>
        <w:ind w:left="480" w:hanging="360"/>
      </w:pPr>
      <w:r>
        <w:rPr>
          <w:rFonts w:ascii="宋体" w:hAnsi="宋体" w:eastAsia="宋体"/>
          <w:sz w:val="21"/>
        </w:rPr>
        <w:t>4. 接口异常时应保留人工处理或业务降级方案，避免影响临床核心流程。</w:t>
      </w:r>
    </w:p>
    <w:p>
      <w:pPr>
        <w:pStyle w:val="Heading1"/>
      </w:pPr>
      <w:r>
        <w:t>九、网络安全、权限与数据管理</w:t>
      </w:r>
    </w:p>
    <w:p>
      <w:pPr>
        <w:pStyle w:val="Heading2"/>
      </w:pPr>
      <w:r>
        <w:t>（一）网络部署原则</w:t>
      </w:r>
    </w:p>
    <w:p>
      <w:pPr>
        <w:spacing w:line="360" w:lineRule="auto" w:after="120"/>
        <w:ind w:firstLine="420"/>
      </w:pPr>
      <w:r>
        <w:rPr>
          <w:rFonts w:ascii="宋体" w:hAnsi="宋体" w:eastAsia="宋体"/>
          <w:sz w:val="21"/>
        </w:rPr>
        <w:t>系统网络部署应服从医院现有网络分区、访问控制、安全审计和运维管理要求。涉及跨院访问、移动端访问、远程专家接入或家属端访问时，应根据医院安全策略采用专线、VPN、安全网关或其他受控接入方式。</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部署模式</w:t>
            </w:r>
          </w:p>
        </w:tc>
        <w:tc>
          <w:tcPr>
            <w:tcW w:type="dxa" w:w="3401"/>
            <w:shd w:fill="EAF2F8"/>
            <w:vAlign w:val="center"/>
          </w:tcPr>
          <w:p>
            <w:pPr>
              <w:spacing w:after="0"/>
              <w:jc w:val="center"/>
            </w:pPr>
            <w:r>
              <w:rPr>
                <w:rFonts w:ascii="宋体" w:hAnsi="宋体" w:eastAsia="黑体"/>
                <w:b/>
                <w:sz w:val="20"/>
              </w:rPr>
              <w:t>适用场景</w:t>
            </w:r>
          </w:p>
        </w:tc>
        <w:tc>
          <w:tcPr>
            <w:tcW w:type="dxa" w:w="3798"/>
            <w:shd w:fill="EAF2F8"/>
            <w:vAlign w:val="center"/>
          </w:tcPr>
          <w:p>
            <w:pPr>
              <w:spacing w:after="0"/>
              <w:jc w:val="center"/>
            </w:pPr>
            <w:r>
              <w:rPr>
                <w:rFonts w:ascii="宋体" w:hAnsi="宋体" w:eastAsia="黑体"/>
                <w:b/>
                <w:sz w:val="20"/>
              </w:rPr>
              <w:t>控制重点</w:t>
            </w:r>
          </w:p>
        </w:tc>
      </w:tr>
      <w:tr>
        <w:tc>
          <w:tcPr>
            <w:tcW w:type="dxa" w:w="1814"/>
            <w:vAlign w:val="center"/>
          </w:tcPr>
          <w:p>
            <w:pPr>
              <w:spacing w:after="0" w:line="300" w:lineRule="auto"/>
              <w:jc w:val="center"/>
            </w:pPr>
            <w:r>
              <w:rPr>
                <w:rFonts w:ascii="宋体" w:hAnsi="宋体" w:eastAsia="宋体"/>
                <w:sz w:val="19"/>
              </w:rPr>
              <w:t>院内内网部署</w:t>
            </w:r>
          </w:p>
        </w:tc>
        <w:tc>
          <w:tcPr>
            <w:tcW w:type="dxa" w:w="3401"/>
            <w:vAlign w:val="center"/>
          </w:tcPr>
          <w:p>
            <w:pPr>
              <w:spacing w:after="0" w:line="300" w:lineRule="auto"/>
            </w:pPr>
            <w:r>
              <w:rPr>
                <w:rFonts w:ascii="宋体" w:hAnsi="宋体" w:eastAsia="宋体"/>
                <w:sz w:val="19"/>
              </w:rPr>
              <w:t>示教、会诊、手术室、ICU、行为管理等院内业务。</w:t>
            </w:r>
          </w:p>
        </w:tc>
        <w:tc>
          <w:tcPr>
            <w:tcW w:type="dxa" w:w="3798"/>
            <w:vAlign w:val="center"/>
          </w:tcPr>
          <w:p>
            <w:pPr>
              <w:spacing w:after="0" w:line="300" w:lineRule="auto"/>
            </w:pPr>
            <w:r>
              <w:rPr>
                <w:rFonts w:ascii="宋体" w:hAnsi="宋体" w:eastAsia="宋体"/>
                <w:sz w:val="19"/>
              </w:rPr>
              <w:t>网段隔离、账号授权、服务器安全和日志审计。</w:t>
            </w:r>
          </w:p>
        </w:tc>
      </w:tr>
      <w:tr>
        <w:tc>
          <w:tcPr>
            <w:tcW w:type="dxa" w:w="1814"/>
            <w:vAlign w:val="center"/>
          </w:tcPr>
          <w:p>
            <w:pPr>
              <w:spacing w:after="0" w:line="300" w:lineRule="auto"/>
              <w:jc w:val="center"/>
            </w:pPr>
            <w:r>
              <w:rPr>
                <w:rFonts w:ascii="宋体" w:hAnsi="宋体" w:eastAsia="宋体"/>
                <w:sz w:val="19"/>
              </w:rPr>
              <w:t>院内跨区域访问</w:t>
            </w:r>
          </w:p>
        </w:tc>
        <w:tc>
          <w:tcPr>
            <w:tcW w:type="dxa" w:w="3401"/>
            <w:vAlign w:val="center"/>
          </w:tcPr>
          <w:p>
            <w:pPr>
              <w:spacing w:after="0" w:line="300" w:lineRule="auto"/>
            </w:pPr>
            <w:r>
              <w:rPr>
                <w:rFonts w:ascii="宋体" w:hAnsi="宋体" w:eastAsia="宋体"/>
                <w:sz w:val="19"/>
              </w:rPr>
              <w:t>手术部到示教室、会诊中心、医生办公室或管理看板。</w:t>
            </w:r>
          </w:p>
        </w:tc>
        <w:tc>
          <w:tcPr>
            <w:tcW w:type="dxa" w:w="3798"/>
            <w:vAlign w:val="center"/>
          </w:tcPr>
          <w:p>
            <w:pPr>
              <w:spacing w:after="0" w:line="300" w:lineRule="auto"/>
            </w:pPr>
            <w:r>
              <w:rPr>
                <w:rFonts w:ascii="宋体" w:hAnsi="宋体" w:eastAsia="宋体"/>
                <w:sz w:val="19"/>
              </w:rPr>
              <w:t>带宽、VLAN、访问控制和终端安全。</w:t>
            </w:r>
          </w:p>
        </w:tc>
      </w:tr>
      <w:tr>
        <w:tc>
          <w:tcPr>
            <w:tcW w:type="dxa" w:w="1814"/>
            <w:vAlign w:val="center"/>
          </w:tcPr>
          <w:p>
            <w:pPr>
              <w:spacing w:after="0" w:line="300" w:lineRule="auto"/>
              <w:jc w:val="center"/>
            </w:pPr>
            <w:r>
              <w:rPr>
                <w:rFonts w:ascii="宋体" w:hAnsi="宋体" w:eastAsia="宋体"/>
                <w:sz w:val="19"/>
              </w:rPr>
              <w:t>院外受控接入</w:t>
            </w:r>
          </w:p>
        </w:tc>
        <w:tc>
          <w:tcPr>
            <w:tcW w:type="dxa" w:w="3401"/>
            <w:vAlign w:val="center"/>
          </w:tcPr>
          <w:p>
            <w:pPr>
              <w:spacing w:after="0" w:line="300" w:lineRule="auto"/>
            </w:pPr>
            <w:r>
              <w:rPr>
                <w:rFonts w:ascii="宋体" w:hAnsi="宋体" w:eastAsia="宋体"/>
                <w:sz w:val="19"/>
              </w:rPr>
              <w:t>远程专家、医联体单位、授权家属或售后远程支持。</w:t>
            </w:r>
          </w:p>
        </w:tc>
        <w:tc>
          <w:tcPr>
            <w:tcW w:type="dxa" w:w="3798"/>
            <w:vAlign w:val="center"/>
          </w:tcPr>
          <w:p>
            <w:pPr>
              <w:spacing w:after="0" w:line="300" w:lineRule="auto"/>
            </w:pPr>
            <w:r>
              <w:rPr>
                <w:rFonts w:ascii="宋体" w:hAnsi="宋体" w:eastAsia="宋体"/>
                <w:sz w:val="19"/>
              </w:rPr>
              <w:t>专线/VPN/网关、白名单、时段限制和访问日志。</w:t>
            </w:r>
          </w:p>
        </w:tc>
      </w:tr>
      <w:tr>
        <w:tc>
          <w:tcPr>
            <w:tcW w:type="dxa" w:w="1814"/>
            <w:vAlign w:val="center"/>
          </w:tcPr>
          <w:p>
            <w:pPr>
              <w:spacing w:after="0" w:line="300" w:lineRule="auto"/>
              <w:jc w:val="center"/>
            </w:pPr>
            <w:r>
              <w:rPr>
                <w:rFonts w:ascii="宋体" w:hAnsi="宋体" w:eastAsia="宋体"/>
                <w:sz w:val="19"/>
              </w:rPr>
              <w:t>混合部署</w:t>
            </w:r>
          </w:p>
        </w:tc>
        <w:tc>
          <w:tcPr>
            <w:tcW w:type="dxa" w:w="3401"/>
            <w:vAlign w:val="center"/>
          </w:tcPr>
          <w:p>
            <w:pPr>
              <w:spacing w:after="0" w:line="300" w:lineRule="auto"/>
            </w:pPr>
            <w:r>
              <w:rPr>
                <w:rFonts w:ascii="宋体" w:hAnsi="宋体" w:eastAsia="宋体"/>
                <w:sz w:val="19"/>
              </w:rPr>
              <w:t>院内平台加外部协作服务或移动访问。</w:t>
            </w:r>
          </w:p>
        </w:tc>
        <w:tc>
          <w:tcPr>
            <w:tcW w:type="dxa" w:w="3798"/>
            <w:vAlign w:val="center"/>
          </w:tcPr>
          <w:p>
            <w:pPr>
              <w:spacing w:after="0" w:line="300" w:lineRule="auto"/>
            </w:pPr>
            <w:r>
              <w:rPr>
                <w:rFonts w:ascii="宋体" w:hAnsi="宋体" w:eastAsia="宋体"/>
                <w:sz w:val="19"/>
              </w:rPr>
              <w:t>数据边界、接口安全、权限回收和应急关闭。</w:t>
            </w:r>
          </w:p>
        </w:tc>
      </w:tr>
    </w:tbl>
    <w:p>
      <w:pPr>
        <w:spacing w:after="40"/>
      </w:pPr>
    </w:p>
    <w:p>
      <w:pPr>
        <w:pStyle w:val="Heading2"/>
      </w:pPr>
      <w:r>
        <w:t>（二）账号权限管理</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700"/>
            <w:shd w:fill="EAF2F8"/>
            <w:vAlign w:val="center"/>
          </w:tcPr>
          <w:p>
            <w:pPr>
              <w:spacing w:after="0"/>
              <w:jc w:val="center"/>
            </w:pPr>
            <w:r>
              <w:rPr>
                <w:rFonts w:ascii="宋体" w:hAnsi="宋体" w:eastAsia="黑体"/>
                <w:b/>
                <w:sz w:val="20"/>
              </w:rPr>
              <w:t>角色</w:t>
            </w:r>
          </w:p>
        </w:tc>
        <w:tc>
          <w:tcPr>
            <w:tcW w:type="dxa" w:w="3968"/>
            <w:shd w:fill="EAF2F8"/>
            <w:vAlign w:val="center"/>
          </w:tcPr>
          <w:p>
            <w:pPr>
              <w:spacing w:after="0"/>
              <w:jc w:val="center"/>
            </w:pPr>
            <w:r>
              <w:rPr>
                <w:rFonts w:ascii="宋体" w:hAnsi="宋体" w:eastAsia="黑体"/>
                <w:b/>
                <w:sz w:val="20"/>
              </w:rPr>
              <w:t>典型权限</w:t>
            </w:r>
          </w:p>
        </w:tc>
        <w:tc>
          <w:tcPr>
            <w:tcW w:type="dxa" w:w="3344"/>
            <w:shd w:fill="EAF2F8"/>
            <w:vAlign w:val="center"/>
          </w:tcPr>
          <w:p>
            <w:pPr>
              <w:spacing w:after="0"/>
              <w:jc w:val="center"/>
            </w:pPr>
            <w:r>
              <w:rPr>
                <w:rFonts w:ascii="宋体" w:hAnsi="宋体" w:eastAsia="黑体"/>
                <w:b/>
                <w:sz w:val="20"/>
              </w:rPr>
              <w:t>管理要求</w:t>
            </w:r>
          </w:p>
        </w:tc>
      </w:tr>
      <w:tr>
        <w:tc>
          <w:tcPr>
            <w:tcW w:type="dxa" w:w="1700"/>
            <w:vAlign w:val="center"/>
          </w:tcPr>
          <w:p>
            <w:pPr>
              <w:spacing w:after="0" w:line="300" w:lineRule="auto"/>
              <w:jc w:val="center"/>
            </w:pPr>
            <w:r>
              <w:rPr>
                <w:rFonts w:ascii="宋体" w:hAnsi="宋体" w:eastAsia="宋体"/>
                <w:sz w:val="19"/>
              </w:rPr>
              <w:t>系统管理员</w:t>
            </w:r>
          </w:p>
        </w:tc>
        <w:tc>
          <w:tcPr>
            <w:tcW w:type="dxa" w:w="3968"/>
            <w:vAlign w:val="center"/>
          </w:tcPr>
          <w:p>
            <w:pPr>
              <w:spacing w:after="0" w:line="300" w:lineRule="auto"/>
            </w:pPr>
            <w:r>
              <w:rPr>
                <w:rFonts w:ascii="宋体" w:hAnsi="宋体" w:eastAsia="宋体"/>
                <w:sz w:val="19"/>
              </w:rPr>
              <w:t>系统配置、用户管理、日志查询、备份管理。</w:t>
            </w:r>
          </w:p>
        </w:tc>
        <w:tc>
          <w:tcPr>
            <w:tcW w:type="dxa" w:w="3344"/>
            <w:vAlign w:val="center"/>
          </w:tcPr>
          <w:p>
            <w:pPr>
              <w:spacing w:after="0" w:line="300" w:lineRule="auto"/>
            </w:pPr>
            <w:r>
              <w:rPr>
                <w:rFonts w:ascii="宋体" w:hAnsi="宋体" w:eastAsia="宋体"/>
                <w:sz w:val="19"/>
              </w:rPr>
              <w:t>由医院指定人员授权，操作需留痕。</w:t>
            </w:r>
          </w:p>
        </w:tc>
      </w:tr>
      <w:tr>
        <w:tc>
          <w:tcPr>
            <w:tcW w:type="dxa" w:w="1700"/>
            <w:vAlign w:val="center"/>
          </w:tcPr>
          <w:p>
            <w:pPr>
              <w:spacing w:after="0" w:line="300" w:lineRule="auto"/>
              <w:jc w:val="center"/>
            </w:pPr>
            <w:r>
              <w:rPr>
                <w:rFonts w:ascii="宋体" w:hAnsi="宋体" w:eastAsia="宋体"/>
                <w:sz w:val="19"/>
              </w:rPr>
              <w:t>业务管理员</w:t>
            </w:r>
          </w:p>
        </w:tc>
        <w:tc>
          <w:tcPr>
            <w:tcW w:type="dxa" w:w="3968"/>
            <w:vAlign w:val="center"/>
          </w:tcPr>
          <w:p>
            <w:pPr>
              <w:spacing w:after="0" w:line="300" w:lineRule="auto"/>
            </w:pPr>
            <w:r>
              <w:rPr>
                <w:rFonts w:ascii="宋体" w:hAnsi="宋体" w:eastAsia="宋体"/>
                <w:sz w:val="19"/>
              </w:rPr>
              <w:t>业务流程、课程、会诊、探视或行为规则配置。</w:t>
            </w:r>
          </w:p>
        </w:tc>
        <w:tc>
          <w:tcPr>
            <w:tcW w:type="dxa" w:w="3344"/>
            <w:vAlign w:val="center"/>
          </w:tcPr>
          <w:p>
            <w:pPr>
              <w:spacing w:after="0" w:line="300" w:lineRule="auto"/>
            </w:pPr>
            <w:r>
              <w:rPr>
                <w:rFonts w:ascii="宋体" w:hAnsi="宋体" w:eastAsia="宋体"/>
                <w:sz w:val="19"/>
              </w:rPr>
              <w:t>按科室和业务范围授权。</w:t>
            </w:r>
          </w:p>
        </w:tc>
      </w:tr>
      <w:tr>
        <w:tc>
          <w:tcPr>
            <w:tcW w:type="dxa" w:w="1700"/>
            <w:vAlign w:val="center"/>
          </w:tcPr>
          <w:p>
            <w:pPr>
              <w:spacing w:after="0" w:line="300" w:lineRule="auto"/>
              <w:jc w:val="center"/>
            </w:pPr>
            <w:r>
              <w:rPr>
                <w:rFonts w:ascii="宋体" w:hAnsi="宋体" w:eastAsia="宋体"/>
                <w:sz w:val="19"/>
              </w:rPr>
              <w:t>临床使用人员</w:t>
            </w:r>
          </w:p>
        </w:tc>
        <w:tc>
          <w:tcPr>
            <w:tcW w:type="dxa" w:w="3968"/>
            <w:vAlign w:val="center"/>
          </w:tcPr>
          <w:p>
            <w:pPr>
              <w:spacing w:after="0" w:line="300" w:lineRule="auto"/>
            </w:pPr>
            <w:r>
              <w:rPr>
                <w:rFonts w:ascii="宋体" w:hAnsi="宋体" w:eastAsia="宋体"/>
                <w:sz w:val="19"/>
              </w:rPr>
              <w:t>发起、观看、操作或查询本岗位相关业务。</w:t>
            </w:r>
          </w:p>
        </w:tc>
        <w:tc>
          <w:tcPr>
            <w:tcW w:type="dxa" w:w="3344"/>
            <w:vAlign w:val="center"/>
          </w:tcPr>
          <w:p>
            <w:pPr>
              <w:spacing w:after="0" w:line="300" w:lineRule="auto"/>
            </w:pPr>
            <w:r>
              <w:rPr>
                <w:rFonts w:ascii="宋体" w:hAnsi="宋体" w:eastAsia="宋体"/>
                <w:sz w:val="19"/>
              </w:rPr>
              <w:t>按角色、科室、项目或排班控制。</w:t>
            </w:r>
          </w:p>
        </w:tc>
      </w:tr>
      <w:tr>
        <w:tc>
          <w:tcPr>
            <w:tcW w:type="dxa" w:w="1700"/>
            <w:vAlign w:val="center"/>
          </w:tcPr>
          <w:p>
            <w:pPr>
              <w:spacing w:after="0" w:line="300" w:lineRule="auto"/>
              <w:jc w:val="center"/>
            </w:pPr>
            <w:r>
              <w:rPr>
                <w:rFonts w:ascii="宋体" w:hAnsi="宋体" w:eastAsia="宋体"/>
                <w:sz w:val="19"/>
              </w:rPr>
              <w:t>运维人员</w:t>
            </w:r>
          </w:p>
        </w:tc>
        <w:tc>
          <w:tcPr>
            <w:tcW w:type="dxa" w:w="3968"/>
            <w:vAlign w:val="center"/>
          </w:tcPr>
          <w:p>
            <w:pPr>
              <w:spacing w:after="0" w:line="300" w:lineRule="auto"/>
            </w:pPr>
            <w:r>
              <w:rPr>
                <w:rFonts w:ascii="宋体" w:hAnsi="宋体" w:eastAsia="宋体"/>
                <w:sz w:val="19"/>
              </w:rPr>
              <w:t>故障排查、设备巡检、版本维护和远程协助。</w:t>
            </w:r>
          </w:p>
        </w:tc>
        <w:tc>
          <w:tcPr>
            <w:tcW w:type="dxa" w:w="3344"/>
            <w:vAlign w:val="center"/>
          </w:tcPr>
          <w:p>
            <w:pPr>
              <w:spacing w:after="0" w:line="300" w:lineRule="auto"/>
            </w:pPr>
            <w:r>
              <w:rPr>
                <w:rFonts w:ascii="宋体" w:hAnsi="宋体" w:eastAsia="宋体"/>
                <w:sz w:val="19"/>
              </w:rPr>
              <w:t>需医院授权，保留操作记录。</w:t>
            </w:r>
          </w:p>
        </w:tc>
      </w:tr>
    </w:tbl>
    <w:p>
      <w:pPr>
        <w:spacing w:after="40"/>
      </w:pPr>
    </w:p>
    <w:p>
      <w:pPr>
        <w:pStyle w:val="Heading2"/>
      </w:pPr>
      <w:r>
        <w:t>（三）数据与资料管理</w:t>
      </w:r>
    </w:p>
    <w:p>
      <w:pPr>
        <w:spacing w:line="324" w:lineRule="auto" w:after="80"/>
        <w:ind w:left="480" w:hanging="360"/>
      </w:pPr>
      <w:r>
        <w:rPr>
          <w:rFonts w:ascii="宋体" w:hAnsi="宋体" w:eastAsia="宋体"/>
          <w:sz w:val="21"/>
        </w:rPr>
        <w:t>1. 患者身份、病历摘要、影像资料、手术视频、会诊记录和探视记录均应按医院授权范围访问。</w:t>
      </w:r>
    </w:p>
    <w:p>
      <w:pPr>
        <w:spacing w:line="324" w:lineRule="auto" w:after="80"/>
        <w:ind w:left="480" w:hanging="360"/>
      </w:pPr>
      <w:r>
        <w:rPr>
          <w:rFonts w:ascii="宋体" w:hAnsi="宋体" w:eastAsia="宋体"/>
          <w:sz w:val="21"/>
        </w:rPr>
        <w:t>2. 音视频资料保存周期、下载权限、删除规则、备份策略和调阅审批应由医院制度确定。</w:t>
      </w:r>
    </w:p>
    <w:p>
      <w:pPr>
        <w:spacing w:line="324" w:lineRule="auto" w:after="80"/>
        <w:ind w:left="480" w:hanging="360"/>
      </w:pPr>
      <w:r>
        <w:rPr>
          <w:rFonts w:ascii="宋体" w:hAnsi="宋体" w:eastAsia="宋体"/>
          <w:sz w:val="21"/>
        </w:rPr>
        <w:t>3. 系统应保留必要日志，便于追踪账号访问、资料调阅、配置变更和异常操作。</w:t>
      </w:r>
    </w:p>
    <w:p>
      <w:pPr>
        <w:pStyle w:val="Heading2"/>
      </w:pPr>
      <w:r>
        <w:t>（四）日志与审计要求</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700"/>
            <w:shd w:fill="EAF2F8"/>
            <w:vAlign w:val="center"/>
          </w:tcPr>
          <w:p>
            <w:pPr>
              <w:spacing w:after="0"/>
              <w:jc w:val="center"/>
            </w:pPr>
            <w:r>
              <w:rPr>
                <w:rFonts w:ascii="宋体" w:hAnsi="宋体" w:eastAsia="黑体"/>
                <w:b/>
                <w:sz w:val="20"/>
              </w:rPr>
              <w:t>日志类型</w:t>
            </w:r>
          </w:p>
        </w:tc>
        <w:tc>
          <w:tcPr>
            <w:tcW w:type="dxa" w:w="3968"/>
            <w:shd w:fill="EAF2F8"/>
            <w:vAlign w:val="center"/>
          </w:tcPr>
          <w:p>
            <w:pPr>
              <w:spacing w:after="0"/>
              <w:jc w:val="center"/>
            </w:pPr>
            <w:r>
              <w:rPr>
                <w:rFonts w:ascii="宋体" w:hAnsi="宋体" w:eastAsia="黑体"/>
                <w:b/>
                <w:sz w:val="20"/>
              </w:rPr>
              <w:t>记录内容</w:t>
            </w:r>
          </w:p>
        </w:tc>
        <w:tc>
          <w:tcPr>
            <w:tcW w:type="dxa" w:w="3344"/>
            <w:shd w:fill="EAF2F8"/>
            <w:vAlign w:val="center"/>
          </w:tcPr>
          <w:p>
            <w:pPr>
              <w:spacing w:after="0"/>
              <w:jc w:val="center"/>
            </w:pPr>
            <w:r>
              <w:rPr>
                <w:rFonts w:ascii="宋体" w:hAnsi="宋体" w:eastAsia="黑体"/>
                <w:b/>
                <w:sz w:val="20"/>
              </w:rPr>
              <w:t>使用场景</w:t>
            </w:r>
          </w:p>
        </w:tc>
      </w:tr>
      <w:tr>
        <w:tc>
          <w:tcPr>
            <w:tcW w:type="dxa" w:w="1700"/>
            <w:vAlign w:val="center"/>
          </w:tcPr>
          <w:p>
            <w:pPr>
              <w:spacing w:after="0" w:line="300" w:lineRule="auto"/>
              <w:jc w:val="center"/>
            </w:pPr>
            <w:r>
              <w:rPr>
                <w:rFonts w:ascii="宋体" w:hAnsi="宋体" w:eastAsia="宋体"/>
                <w:sz w:val="19"/>
              </w:rPr>
              <w:t>账号登录日志</w:t>
            </w:r>
          </w:p>
        </w:tc>
        <w:tc>
          <w:tcPr>
            <w:tcW w:type="dxa" w:w="3968"/>
            <w:vAlign w:val="center"/>
          </w:tcPr>
          <w:p>
            <w:pPr>
              <w:spacing w:after="0" w:line="300" w:lineRule="auto"/>
            </w:pPr>
            <w:r>
              <w:rPr>
                <w:rFonts w:ascii="宋体" w:hAnsi="宋体" w:eastAsia="宋体"/>
                <w:sz w:val="19"/>
              </w:rPr>
              <w:t>账号、时间、终端、IP、登录结果。</w:t>
            </w:r>
          </w:p>
        </w:tc>
        <w:tc>
          <w:tcPr>
            <w:tcW w:type="dxa" w:w="3344"/>
            <w:vAlign w:val="center"/>
          </w:tcPr>
          <w:p>
            <w:pPr>
              <w:spacing w:after="0" w:line="300" w:lineRule="auto"/>
            </w:pPr>
            <w:r>
              <w:rPr>
                <w:rFonts w:ascii="宋体" w:hAnsi="宋体" w:eastAsia="宋体"/>
                <w:sz w:val="19"/>
              </w:rPr>
              <w:t>排查异常登录和权限使用问题。</w:t>
            </w:r>
          </w:p>
        </w:tc>
      </w:tr>
      <w:tr>
        <w:tc>
          <w:tcPr>
            <w:tcW w:type="dxa" w:w="1700"/>
            <w:vAlign w:val="center"/>
          </w:tcPr>
          <w:p>
            <w:pPr>
              <w:spacing w:after="0" w:line="300" w:lineRule="auto"/>
              <w:jc w:val="center"/>
            </w:pPr>
            <w:r>
              <w:rPr>
                <w:rFonts w:ascii="宋体" w:hAnsi="宋体" w:eastAsia="宋体"/>
                <w:sz w:val="19"/>
              </w:rPr>
              <w:t>业务操作日志</w:t>
            </w:r>
          </w:p>
        </w:tc>
        <w:tc>
          <w:tcPr>
            <w:tcW w:type="dxa" w:w="3968"/>
            <w:vAlign w:val="center"/>
          </w:tcPr>
          <w:p>
            <w:pPr>
              <w:spacing w:after="0" w:line="300" w:lineRule="auto"/>
            </w:pPr>
            <w:r>
              <w:rPr>
                <w:rFonts w:ascii="宋体" w:hAnsi="宋体" w:eastAsia="宋体"/>
                <w:sz w:val="19"/>
              </w:rPr>
              <w:t>发起、观看、录制、调阅、授权、删除、导出等操作。</w:t>
            </w:r>
          </w:p>
        </w:tc>
        <w:tc>
          <w:tcPr>
            <w:tcW w:type="dxa" w:w="3344"/>
            <w:vAlign w:val="center"/>
          </w:tcPr>
          <w:p>
            <w:pPr>
              <w:spacing w:after="0" w:line="300" w:lineRule="auto"/>
            </w:pPr>
            <w:r>
              <w:rPr>
                <w:rFonts w:ascii="宋体" w:hAnsi="宋体" w:eastAsia="宋体"/>
                <w:sz w:val="19"/>
              </w:rPr>
              <w:t>用于资料追溯和责任界定。</w:t>
            </w:r>
          </w:p>
        </w:tc>
      </w:tr>
      <w:tr>
        <w:tc>
          <w:tcPr>
            <w:tcW w:type="dxa" w:w="1700"/>
            <w:vAlign w:val="center"/>
          </w:tcPr>
          <w:p>
            <w:pPr>
              <w:spacing w:after="0" w:line="300" w:lineRule="auto"/>
              <w:jc w:val="center"/>
            </w:pPr>
            <w:r>
              <w:rPr>
                <w:rFonts w:ascii="宋体" w:hAnsi="宋体" w:eastAsia="宋体"/>
                <w:sz w:val="19"/>
              </w:rPr>
              <w:t>接口调用日志</w:t>
            </w:r>
          </w:p>
        </w:tc>
        <w:tc>
          <w:tcPr>
            <w:tcW w:type="dxa" w:w="3968"/>
            <w:vAlign w:val="center"/>
          </w:tcPr>
          <w:p>
            <w:pPr>
              <w:spacing w:after="0" w:line="300" w:lineRule="auto"/>
            </w:pPr>
            <w:r>
              <w:rPr>
                <w:rFonts w:ascii="宋体" w:hAnsi="宋体" w:eastAsia="宋体"/>
                <w:sz w:val="19"/>
              </w:rPr>
              <w:t>接口对象、调用时间、字段范围、返回结果和异常信息。</w:t>
            </w:r>
          </w:p>
        </w:tc>
        <w:tc>
          <w:tcPr>
            <w:tcW w:type="dxa" w:w="3344"/>
            <w:vAlign w:val="center"/>
          </w:tcPr>
          <w:p>
            <w:pPr>
              <w:spacing w:after="0" w:line="300" w:lineRule="auto"/>
            </w:pPr>
            <w:r>
              <w:rPr>
                <w:rFonts w:ascii="宋体" w:hAnsi="宋体" w:eastAsia="宋体"/>
                <w:sz w:val="19"/>
              </w:rPr>
              <w:t>用于接口联调、故障定位和安全审计。</w:t>
            </w:r>
          </w:p>
        </w:tc>
      </w:tr>
      <w:tr>
        <w:tc>
          <w:tcPr>
            <w:tcW w:type="dxa" w:w="1700"/>
            <w:vAlign w:val="center"/>
          </w:tcPr>
          <w:p>
            <w:pPr>
              <w:spacing w:after="0" w:line="300" w:lineRule="auto"/>
              <w:jc w:val="center"/>
            </w:pPr>
            <w:r>
              <w:rPr>
                <w:rFonts w:ascii="宋体" w:hAnsi="宋体" w:eastAsia="宋体"/>
                <w:sz w:val="19"/>
              </w:rPr>
              <w:t>设备状态日志</w:t>
            </w:r>
          </w:p>
        </w:tc>
        <w:tc>
          <w:tcPr>
            <w:tcW w:type="dxa" w:w="3968"/>
            <w:vAlign w:val="center"/>
          </w:tcPr>
          <w:p>
            <w:pPr>
              <w:spacing w:after="0" w:line="300" w:lineRule="auto"/>
            </w:pPr>
            <w:r>
              <w:rPr>
                <w:rFonts w:ascii="宋体" w:hAnsi="宋体" w:eastAsia="宋体"/>
                <w:sz w:val="19"/>
              </w:rPr>
              <w:t>在线状态、异常告警、重启、断线和恢复记录。</w:t>
            </w:r>
          </w:p>
        </w:tc>
        <w:tc>
          <w:tcPr>
            <w:tcW w:type="dxa" w:w="3344"/>
            <w:vAlign w:val="center"/>
          </w:tcPr>
          <w:p>
            <w:pPr>
              <w:spacing w:after="0" w:line="300" w:lineRule="auto"/>
            </w:pPr>
            <w:r>
              <w:rPr>
                <w:rFonts w:ascii="宋体" w:hAnsi="宋体" w:eastAsia="宋体"/>
                <w:sz w:val="19"/>
              </w:rPr>
              <w:t>用于运维巡检和验收复核。</w:t>
            </w:r>
          </w:p>
        </w:tc>
      </w:tr>
      <w:tr>
        <w:tc>
          <w:tcPr>
            <w:tcW w:type="dxa" w:w="1700"/>
            <w:vAlign w:val="center"/>
          </w:tcPr>
          <w:p>
            <w:pPr>
              <w:spacing w:after="0" w:line="300" w:lineRule="auto"/>
              <w:jc w:val="center"/>
            </w:pPr>
            <w:r>
              <w:rPr>
                <w:rFonts w:ascii="宋体" w:hAnsi="宋体" w:eastAsia="宋体"/>
                <w:sz w:val="19"/>
              </w:rPr>
              <w:t>远程访问日志</w:t>
            </w:r>
          </w:p>
        </w:tc>
        <w:tc>
          <w:tcPr>
            <w:tcW w:type="dxa" w:w="3968"/>
            <w:vAlign w:val="center"/>
          </w:tcPr>
          <w:p>
            <w:pPr>
              <w:spacing w:after="0" w:line="300" w:lineRule="auto"/>
            </w:pPr>
            <w:r>
              <w:rPr>
                <w:rFonts w:ascii="宋体" w:hAnsi="宋体" w:eastAsia="宋体"/>
                <w:sz w:val="19"/>
              </w:rPr>
              <w:t>外部访问账号、授权人、访问时段、访问对象和退出记录。</w:t>
            </w:r>
          </w:p>
        </w:tc>
        <w:tc>
          <w:tcPr>
            <w:tcW w:type="dxa" w:w="3344"/>
            <w:vAlign w:val="center"/>
          </w:tcPr>
          <w:p>
            <w:pPr>
              <w:spacing w:after="0" w:line="300" w:lineRule="auto"/>
            </w:pPr>
            <w:r>
              <w:rPr>
                <w:rFonts w:ascii="宋体" w:hAnsi="宋体" w:eastAsia="宋体"/>
                <w:sz w:val="19"/>
              </w:rPr>
              <w:t>用于远程会诊、家属探视和售后支持审计。</w:t>
            </w:r>
          </w:p>
        </w:tc>
      </w:tr>
    </w:tbl>
    <w:p>
      <w:pPr>
        <w:spacing w:after="40"/>
      </w:pPr>
    </w:p>
    <w:p>
      <w:pPr>
        <w:pStyle w:val="Heading1"/>
      </w:pPr>
      <w:r>
        <w:t>十、项目实施组织方案</w:t>
      </w:r>
    </w:p>
    <w:p>
      <w:pPr>
        <w:pStyle w:val="Heading2"/>
      </w:pPr>
      <w:r>
        <w:t>（一）组织分工</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700"/>
            <w:shd w:fill="EAF2F8"/>
            <w:vAlign w:val="center"/>
          </w:tcPr>
          <w:p>
            <w:pPr>
              <w:spacing w:after="0"/>
              <w:jc w:val="center"/>
            </w:pPr>
            <w:r>
              <w:rPr>
                <w:rFonts w:ascii="宋体" w:hAnsi="宋体" w:eastAsia="黑体"/>
                <w:b/>
                <w:sz w:val="20"/>
              </w:rPr>
              <w:t>角色</w:t>
            </w:r>
          </w:p>
        </w:tc>
        <w:tc>
          <w:tcPr>
            <w:tcW w:type="dxa" w:w="4535"/>
            <w:shd w:fill="EAF2F8"/>
            <w:vAlign w:val="center"/>
          </w:tcPr>
          <w:p>
            <w:pPr>
              <w:spacing w:after="0"/>
              <w:jc w:val="center"/>
            </w:pPr>
            <w:r>
              <w:rPr>
                <w:rFonts w:ascii="宋体" w:hAnsi="宋体" w:eastAsia="黑体"/>
                <w:b/>
                <w:sz w:val="20"/>
              </w:rPr>
              <w:t>主要职责</w:t>
            </w:r>
          </w:p>
        </w:tc>
        <w:tc>
          <w:tcPr>
            <w:tcW w:type="dxa" w:w="2777"/>
            <w:shd w:fill="EAF2F8"/>
            <w:vAlign w:val="center"/>
          </w:tcPr>
          <w:p>
            <w:pPr>
              <w:spacing w:after="0"/>
              <w:jc w:val="center"/>
            </w:pPr>
            <w:r>
              <w:rPr>
                <w:rFonts w:ascii="宋体" w:hAnsi="宋体" w:eastAsia="黑体"/>
                <w:b/>
                <w:sz w:val="20"/>
              </w:rPr>
              <w:t>交付物</w:t>
            </w:r>
          </w:p>
        </w:tc>
      </w:tr>
      <w:tr>
        <w:tc>
          <w:tcPr>
            <w:tcW w:type="dxa" w:w="1700"/>
            <w:vAlign w:val="center"/>
          </w:tcPr>
          <w:p>
            <w:pPr>
              <w:spacing w:after="0" w:line="300" w:lineRule="auto"/>
              <w:jc w:val="center"/>
            </w:pPr>
            <w:r>
              <w:rPr>
                <w:rFonts w:ascii="宋体" w:hAnsi="宋体" w:eastAsia="宋体"/>
                <w:sz w:val="19"/>
              </w:rPr>
              <w:t>项目经理</w:t>
            </w:r>
          </w:p>
        </w:tc>
        <w:tc>
          <w:tcPr>
            <w:tcW w:type="dxa" w:w="4535"/>
            <w:vAlign w:val="center"/>
          </w:tcPr>
          <w:p>
            <w:pPr>
              <w:spacing w:after="0" w:line="300" w:lineRule="auto"/>
            </w:pPr>
            <w:r>
              <w:rPr>
                <w:rFonts w:ascii="宋体" w:hAnsi="宋体" w:eastAsia="宋体"/>
                <w:sz w:val="19"/>
              </w:rPr>
              <w:t>组织进度、协调院方、处理风险、跟踪问题闭环。</w:t>
            </w:r>
          </w:p>
        </w:tc>
        <w:tc>
          <w:tcPr>
            <w:tcW w:type="dxa" w:w="2777"/>
            <w:vAlign w:val="center"/>
          </w:tcPr>
          <w:p>
            <w:pPr>
              <w:spacing w:after="0" w:line="300" w:lineRule="auto"/>
            </w:pPr>
            <w:r>
              <w:rPr>
                <w:rFonts w:ascii="宋体" w:hAnsi="宋体" w:eastAsia="宋体"/>
                <w:sz w:val="19"/>
              </w:rPr>
              <w:t>项目计划、会议纪要、问题清单。</w:t>
            </w:r>
          </w:p>
        </w:tc>
      </w:tr>
      <w:tr>
        <w:tc>
          <w:tcPr>
            <w:tcW w:type="dxa" w:w="1700"/>
            <w:vAlign w:val="center"/>
          </w:tcPr>
          <w:p>
            <w:pPr>
              <w:spacing w:after="0" w:line="300" w:lineRule="auto"/>
              <w:jc w:val="center"/>
            </w:pPr>
            <w:r>
              <w:rPr>
                <w:rFonts w:ascii="宋体" w:hAnsi="宋体" w:eastAsia="宋体"/>
                <w:sz w:val="19"/>
              </w:rPr>
              <w:t>方案工程师</w:t>
            </w:r>
          </w:p>
        </w:tc>
        <w:tc>
          <w:tcPr>
            <w:tcW w:type="dxa" w:w="4535"/>
            <w:vAlign w:val="center"/>
          </w:tcPr>
          <w:p>
            <w:pPr>
              <w:spacing w:after="0" w:line="300" w:lineRule="auto"/>
            </w:pPr>
            <w:r>
              <w:rPr>
                <w:rFonts w:ascii="宋体" w:hAnsi="宋体" w:eastAsia="宋体"/>
                <w:sz w:val="19"/>
              </w:rPr>
              <w:t>深化系统架构、点位、设备和接口方案。</w:t>
            </w:r>
          </w:p>
        </w:tc>
        <w:tc>
          <w:tcPr>
            <w:tcW w:type="dxa" w:w="2777"/>
            <w:vAlign w:val="center"/>
          </w:tcPr>
          <w:p>
            <w:pPr>
              <w:spacing w:after="0" w:line="300" w:lineRule="auto"/>
            </w:pPr>
            <w:r>
              <w:rPr>
                <w:rFonts w:ascii="宋体" w:hAnsi="宋体" w:eastAsia="宋体"/>
                <w:sz w:val="19"/>
              </w:rPr>
              <w:t>深化设计、拓扑图、设备清单。</w:t>
            </w:r>
          </w:p>
        </w:tc>
      </w:tr>
      <w:tr>
        <w:tc>
          <w:tcPr>
            <w:tcW w:type="dxa" w:w="1700"/>
            <w:vAlign w:val="center"/>
          </w:tcPr>
          <w:p>
            <w:pPr>
              <w:spacing w:after="0" w:line="300" w:lineRule="auto"/>
              <w:jc w:val="center"/>
            </w:pPr>
            <w:r>
              <w:rPr>
                <w:rFonts w:ascii="宋体" w:hAnsi="宋体" w:eastAsia="宋体"/>
                <w:sz w:val="19"/>
              </w:rPr>
              <w:t>实施工程师</w:t>
            </w:r>
          </w:p>
        </w:tc>
        <w:tc>
          <w:tcPr>
            <w:tcW w:type="dxa" w:w="4535"/>
            <w:vAlign w:val="center"/>
          </w:tcPr>
          <w:p>
            <w:pPr>
              <w:spacing w:after="0" w:line="300" w:lineRule="auto"/>
            </w:pPr>
            <w:r>
              <w:rPr>
                <w:rFonts w:ascii="宋体" w:hAnsi="宋体" w:eastAsia="宋体"/>
                <w:sz w:val="19"/>
              </w:rPr>
              <w:t>完成安装、布线配合、设备调试和现场联调。</w:t>
            </w:r>
          </w:p>
        </w:tc>
        <w:tc>
          <w:tcPr>
            <w:tcW w:type="dxa" w:w="2777"/>
            <w:vAlign w:val="center"/>
          </w:tcPr>
          <w:p>
            <w:pPr>
              <w:spacing w:after="0" w:line="300" w:lineRule="auto"/>
            </w:pPr>
            <w:r>
              <w:rPr>
                <w:rFonts w:ascii="宋体" w:hAnsi="宋体" w:eastAsia="宋体"/>
                <w:sz w:val="19"/>
              </w:rPr>
              <w:t>安装记录、调试记录、培训记录。</w:t>
            </w:r>
          </w:p>
        </w:tc>
      </w:tr>
      <w:tr>
        <w:tc>
          <w:tcPr>
            <w:tcW w:type="dxa" w:w="1700"/>
            <w:vAlign w:val="center"/>
          </w:tcPr>
          <w:p>
            <w:pPr>
              <w:spacing w:after="0" w:line="300" w:lineRule="auto"/>
              <w:jc w:val="center"/>
            </w:pPr>
            <w:r>
              <w:rPr>
                <w:rFonts w:ascii="宋体" w:hAnsi="宋体" w:eastAsia="宋体"/>
                <w:sz w:val="19"/>
              </w:rPr>
              <w:t>软件工程师</w:t>
            </w:r>
          </w:p>
        </w:tc>
        <w:tc>
          <w:tcPr>
            <w:tcW w:type="dxa" w:w="4535"/>
            <w:vAlign w:val="center"/>
          </w:tcPr>
          <w:p>
            <w:pPr>
              <w:spacing w:after="0" w:line="300" w:lineRule="auto"/>
            </w:pPr>
            <w:r>
              <w:rPr>
                <w:rFonts w:ascii="宋体" w:hAnsi="宋体" w:eastAsia="宋体"/>
                <w:sz w:val="19"/>
              </w:rPr>
              <w:t>完成平台配置、接口联调、权限配置和功能验证。</w:t>
            </w:r>
          </w:p>
        </w:tc>
        <w:tc>
          <w:tcPr>
            <w:tcW w:type="dxa" w:w="2777"/>
            <w:vAlign w:val="center"/>
          </w:tcPr>
          <w:p>
            <w:pPr>
              <w:spacing w:after="0" w:line="300" w:lineRule="auto"/>
            </w:pPr>
            <w:r>
              <w:rPr>
                <w:rFonts w:ascii="宋体" w:hAnsi="宋体" w:eastAsia="宋体"/>
                <w:sz w:val="19"/>
              </w:rPr>
              <w:t>配置表、接口记录、测试记录。</w:t>
            </w:r>
          </w:p>
        </w:tc>
      </w:tr>
      <w:tr>
        <w:tc>
          <w:tcPr>
            <w:tcW w:type="dxa" w:w="1700"/>
            <w:vAlign w:val="center"/>
          </w:tcPr>
          <w:p>
            <w:pPr>
              <w:spacing w:after="0" w:line="300" w:lineRule="auto"/>
              <w:jc w:val="center"/>
            </w:pPr>
            <w:r>
              <w:rPr>
                <w:rFonts w:ascii="宋体" w:hAnsi="宋体" w:eastAsia="宋体"/>
                <w:sz w:val="19"/>
              </w:rPr>
              <w:t>院方配合人员</w:t>
            </w:r>
          </w:p>
        </w:tc>
        <w:tc>
          <w:tcPr>
            <w:tcW w:type="dxa" w:w="4535"/>
            <w:vAlign w:val="center"/>
          </w:tcPr>
          <w:p>
            <w:pPr>
              <w:spacing w:after="0" w:line="300" w:lineRule="auto"/>
            </w:pPr>
            <w:r>
              <w:rPr>
                <w:rFonts w:ascii="宋体" w:hAnsi="宋体" w:eastAsia="宋体"/>
                <w:sz w:val="19"/>
              </w:rPr>
              <w:t>协调施工窗口、网络、接口、账号、验收和培训。</w:t>
            </w:r>
          </w:p>
        </w:tc>
        <w:tc>
          <w:tcPr>
            <w:tcW w:type="dxa" w:w="2777"/>
            <w:vAlign w:val="center"/>
          </w:tcPr>
          <w:p>
            <w:pPr>
              <w:spacing w:after="0" w:line="300" w:lineRule="auto"/>
            </w:pPr>
            <w:r>
              <w:rPr>
                <w:rFonts w:ascii="宋体" w:hAnsi="宋体" w:eastAsia="宋体"/>
                <w:sz w:val="19"/>
              </w:rPr>
              <w:t>确认单、验收意见、使用反馈。</w:t>
            </w:r>
          </w:p>
        </w:tc>
      </w:tr>
    </w:tbl>
    <w:p>
      <w:pPr>
        <w:spacing w:after="40"/>
      </w:pPr>
    </w:p>
    <w:p>
      <w:pPr>
        <w:pStyle w:val="Heading2"/>
      </w:pPr>
      <w:r>
        <w:t>（二）现场勘查清单</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勘查项</w:t>
            </w:r>
          </w:p>
        </w:tc>
        <w:tc>
          <w:tcPr>
            <w:tcW w:type="dxa" w:w="4195"/>
            <w:shd w:fill="EAF2F8"/>
            <w:vAlign w:val="center"/>
          </w:tcPr>
          <w:p>
            <w:pPr>
              <w:spacing w:after="0"/>
              <w:jc w:val="center"/>
            </w:pPr>
            <w:r>
              <w:rPr>
                <w:rFonts w:ascii="宋体" w:hAnsi="宋体" w:eastAsia="黑体"/>
                <w:b/>
                <w:sz w:val="20"/>
              </w:rPr>
              <w:t>检查内容</w:t>
            </w:r>
          </w:p>
        </w:tc>
        <w:tc>
          <w:tcPr>
            <w:tcW w:type="dxa" w:w="3004"/>
            <w:shd w:fill="EAF2F8"/>
            <w:vAlign w:val="center"/>
          </w:tcPr>
          <w:p>
            <w:pPr>
              <w:spacing w:after="0"/>
              <w:jc w:val="center"/>
            </w:pPr>
            <w:r>
              <w:rPr>
                <w:rFonts w:ascii="宋体" w:hAnsi="宋体" w:eastAsia="黑体"/>
                <w:b/>
                <w:sz w:val="20"/>
              </w:rPr>
              <w:t>对项目的影响</w:t>
            </w:r>
          </w:p>
        </w:tc>
      </w:tr>
      <w:tr>
        <w:tc>
          <w:tcPr>
            <w:tcW w:type="dxa" w:w="1814"/>
            <w:vAlign w:val="center"/>
          </w:tcPr>
          <w:p>
            <w:pPr>
              <w:spacing w:after="0" w:line="300" w:lineRule="auto"/>
              <w:jc w:val="center"/>
            </w:pPr>
            <w:r>
              <w:rPr>
                <w:rFonts w:ascii="宋体" w:hAnsi="宋体" w:eastAsia="宋体"/>
                <w:sz w:val="19"/>
              </w:rPr>
              <w:t>建设空间</w:t>
            </w:r>
          </w:p>
        </w:tc>
        <w:tc>
          <w:tcPr>
            <w:tcW w:type="dxa" w:w="4195"/>
            <w:vAlign w:val="center"/>
          </w:tcPr>
          <w:p>
            <w:pPr>
              <w:spacing w:after="0" w:line="300" w:lineRule="auto"/>
            </w:pPr>
            <w:r>
              <w:rPr>
                <w:rFonts w:ascii="宋体" w:hAnsi="宋体" w:eastAsia="宋体"/>
                <w:sz w:val="19"/>
              </w:rPr>
              <w:t>核对房间名称、房号、楼层、使用科室、施工窗口和现场责任人。</w:t>
            </w:r>
          </w:p>
        </w:tc>
        <w:tc>
          <w:tcPr>
            <w:tcW w:type="dxa" w:w="3004"/>
            <w:vAlign w:val="center"/>
          </w:tcPr>
          <w:p>
            <w:pPr>
              <w:spacing w:after="0" w:line="300" w:lineRule="auto"/>
            </w:pPr>
            <w:r>
              <w:rPr>
                <w:rFonts w:ascii="宋体" w:hAnsi="宋体" w:eastAsia="宋体"/>
                <w:sz w:val="19"/>
              </w:rPr>
              <w:t>避免点位图、招标清单和现场实际不一致。</w:t>
            </w:r>
          </w:p>
        </w:tc>
      </w:tr>
      <w:tr>
        <w:tc>
          <w:tcPr>
            <w:tcW w:type="dxa" w:w="1814"/>
            <w:vAlign w:val="center"/>
          </w:tcPr>
          <w:p>
            <w:pPr>
              <w:spacing w:after="0" w:line="300" w:lineRule="auto"/>
              <w:jc w:val="center"/>
            </w:pPr>
            <w:r>
              <w:rPr>
                <w:rFonts w:ascii="宋体" w:hAnsi="宋体" w:eastAsia="宋体"/>
                <w:sz w:val="19"/>
              </w:rPr>
              <w:t>弱电条件</w:t>
            </w:r>
          </w:p>
        </w:tc>
        <w:tc>
          <w:tcPr>
            <w:tcW w:type="dxa" w:w="4195"/>
            <w:vAlign w:val="center"/>
          </w:tcPr>
          <w:p>
            <w:pPr>
              <w:spacing w:after="0" w:line="300" w:lineRule="auto"/>
            </w:pPr>
            <w:r>
              <w:rPr>
                <w:rFonts w:ascii="宋体" w:hAnsi="宋体" w:eastAsia="宋体"/>
                <w:sz w:val="19"/>
              </w:rPr>
              <w:t>核对机柜位置、交换机端口、桥架路径、网线/光纤余量和标签规范。</w:t>
            </w:r>
          </w:p>
        </w:tc>
        <w:tc>
          <w:tcPr>
            <w:tcW w:type="dxa" w:w="3004"/>
            <w:vAlign w:val="center"/>
          </w:tcPr>
          <w:p>
            <w:pPr>
              <w:spacing w:after="0" w:line="300" w:lineRule="auto"/>
            </w:pPr>
            <w:r>
              <w:rPr>
                <w:rFonts w:ascii="宋体" w:hAnsi="宋体" w:eastAsia="宋体"/>
                <w:sz w:val="19"/>
              </w:rPr>
              <w:t>影响施工周期、网络稳定和后期维护。</w:t>
            </w:r>
          </w:p>
        </w:tc>
      </w:tr>
      <w:tr>
        <w:tc>
          <w:tcPr>
            <w:tcW w:type="dxa" w:w="1814"/>
            <w:vAlign w:val="center"/>
          </w:tcPr>
          <w:p>
            <w:pPr>
              <w:spacing w:after="0" w:line="300" w:lineRule="auto"/>
              <w:jc w:val="center"/>
            </w:pPr>
            <w:r>
              <w:rPr>
                <w:rFonts w:ascii="宋体" w:hAnsi="宋体" w:eastAsia="宋体"/>
                <w:sz w:val="19"/>
              </w:rPr>
              <w:t>供电条件</w:t>
            </w:r>
          </w:p>
        </w:tc>
        <w:tc>
          <w:tcPr>
            <w:tcW w:type="dxa" w:w="4195"/>
            <w:vAlign w:val="center"/>
          </w:tcPr>
          <w:p>
            <w:pPr>
              <w:spacing w:after="0" w:line="300" w:lineRule="auto"/>
            </w:pPr>
            <w:r>
              <w:rPr>
                <w:rFonts w:ascii="宋体" w:hAnsi="宋体" w:eastAsia="宋体"/>
                <w:sz w:val="19"/>
              </w:rPr>
              <w:t>核对插座、UPS、接地、设备功率、强弱电间距和停电窗口。</w:t>
            </w:r>
          </w:p>
        </w:tc>
        <w:tc>
          <w:tcPr>
            <w:tcW w:type="dxa" w:w="3004"/>
            <w:vAlign w:val="center"/>
          </w:tcPr>
          <w:p>
            <w:pPr>
              <w:spacing w:after="0" w:line="300" w:lineRule="auto"/>
            </w:pPr>
            <w:r>
              <w:rPr>
                <w:rFonts w:ascii="宋体" w:hAnsi="宋体" w:eastAsia="宋体"/>
                <w:sz w:val="19"/>
              </w:rPr>
              <w:t>避免设备上电后不稳定或无法纳入医院运维。</w:t>
            </w:r>
          </w:p>
        </w:tc>
      </w:tr>
      <w:tr>
        <w:tc>
          <w:tcPr>
            <w:tcW w:type="dxa" w:w="1814"/>
            <w:vAlign w:val="center"/>
          </w:tcPr>
          <w:p>
            <w:pPr>
              <w:spacing w:after="0" w:line="300" w:lineRule="auto"/>
              <w:jc w:val="center"/>
            </w:pPr>
            <w:r>
              <w:rPr>
                <w:rFonts w:ascii="宋体" w:hAnsi="宋体" w:eastAsia="宋体"/>
                <w:sz w:val="19"/>
              </w:rPr>
              <w:t>安装条件</w:t>
            </w:r>
          </w:p>
        </w:tc>
        <w:tc>
          <w:tcPr>
            <w:tcW w:type="dxa" w:w="4195"/>
            <w:vAlign w:val="center"/>
          </w:tcPr>
          <w:p>
            <w:pPr>
              <w:spacing w:after="0" w:line="300" w:lineRule="auto"/>
            </w:pPr>
            <w:r>
              <w:rPr>
                <w:rFonts w:ascii="宋体" w:hAnsi="宋体" w:eastAsia="宋体"/>
                <w:sz w:val="19"/>
              </w:rPr>
              <w:t>核对墙面、吊顶、吊塔、层流、照明、消防、净化和设备固定方式。</w:t>
            </w:r>
          </w:p>
        </w:tc>
        <w:tc>
          <w:tcPr>
            <w:tcW w:type="dxa" w:w="3004"/>
            <w:vAlign w:val="center"/>
          </w:tcPr>
          <w:p>
            <w:pPr>
              <w:spacing w:after="0" w:line="300" w:lineRule="auto"/>
            </w:pPr>
            <w:r>
              <w:rPr>
                <w:rFonts w:ascii="宋体" w:hAnsi="宋体" w:eastAsia="宋体"/>
                <w:sz w:val="19"/>
              </w:rPr>
              <w:t>手术部施工需避免破坏洁净和原有设施。</w:t>
            </w:r>
          </w:p>
        </w:tc>
      </w:tr>
      <w:tr>
        <w:tc>
          <w:tcPr>
            <w:tcW w:type="dxa" w:w="1814"/>
            <w:vAlign w:val="center"/>
          </w:tcPr>
          <w:p>
            <w:pPr>
              <w:spacing w:after="0" w:line="300" w:lineRule="auto"/>
              <w:jc w:val="center"/>
            </w:pPr>
            <w:r>
              <w:rPr>
                <w:rFonts w:ascii="宋体" w:hAnsi="宋体" w:eastAsia="宋体"/>
                <w:sz w:val="19"/>
              </w:rPr>
              <w:t>网络安全</w:t>
            </w:r>
          </w:p>
        </w:tc>
        <w:tc>
          <w:tcPr>
            <w:tcW w:type="dxa" w:w="4195"/>
            <w:vAlign w:val="center"/>
          </w:tcPr>
          <w:p>
            <w:pPr>
              <w:spacing w:after="0" w:line="300" w:lineRule="auto"/>
            </w:pPr>
            <w:r>
              <w:rPr>
                <w:rFonts w:ascii="宋体" w:hAnsi="宋体" w:eastAsia="宋体"/>
                <w:sz w:val="19"/>
              </w:rPr>
              <w:t>核对网段、VLAN、访问控制、外网策略、远程运维审批和日志要求。</w:t>
            </w:r>
          </w:p>
        </w:tc>
        <w:tc>
          <w:tcPr>
            <w:tcW w:type="dxa" w:w="3004"/>
            <w:vAlign w:val="center"/>
          </w:tcPr>
          <w:p>
            <w:pPr>
              <w:spacing w:after="0" w:line="300" w:lineRule="auto"/>
            </w:pPr>
            <w:r>
              <w:rPr>
                <w:rFonts w:ascii="宋体" w:hAnsi="宋体" w:eastAsia="宋体"/>
                <w:sz w:val="19"/>
              </w:rPr>
              <w:t>外部接入和远程协作必须提前确认。</w:t>
            </w:r>
          </w:p>
        </w:tc>
      </w:tr>
      <w:tr>
        <w:tc>
          <w:tcPr>
            <w:tcW w:type="dxa" w:w="1814"/>
            <w:vAlign w:val="center"/>
          </w:tcPr>
          <w:p>
            <w:pPr>
              <w:spacing w:after="0" w:line="300" w:lineRule="auto"/>
              <w:jc w:val="center"/>
            </w:pPr>
            <w:r>
              <w:rPr>
                <w:rFonts w:ascii="宋体" w:hAnsi="宋体" w:eastAsia="宋体"/>
                <w:sz w:val="19"/>
              </w:rPr>
              <w:t>第三方系统</w:t>
            </w:r>
          </w:p>
        </w:tc>
        <w:tc>
          <w:tcPr>
            <w:tcW w:type="dxa" w:w="4195"/>
            <w:vAlign w:val="center"/>
          </w:tcPr>
          <w:p>
            <w:pPr>
              <w:spacing w:after="0" w:line="300" w:lineRule="auto"/>
            </w:pPr>
            <w:r>
              <w:rPr>
                <w:rFonts w:ascii="宋体" w:hAnsi="宋体" w:eastAsia="宋体"/>
                <w:sz w:val="19"/>
              </w:rPr>
              <w:t>核对 HIS、PACS、手麻、门禁、认证、会议系统等接口联系人和开放能力。</w:t>
            </w:r>
          </w:p>
        </w:tc>
        <w:tc>
          <w:tcPr>
            <w:tcW w:type="dxa" w:w="3004"/>
            <w:vAlign w:val="center"/>
          </w:tcPr>
          <w:p>
            <w:pPr>
              <w:spacing w:after="0" w:line="300" w:lineRule="auto"/>
            </w:pPr>
            <w:r>
              <w:rPr>
                <w:rFonts w:ascii="宋体" w:hAnsi="宋体" w:eastAsia="宋体"/>
                <w:sz w:val="19"/>
              </w:rPr>
              <w:t>接口周期通常受第三方厂商配合影响。</w:t>
            </w:r>
          </w:p>
        </w:tc>
      </w:tr>
      <w:tr>
        <w:tc>
          <w:tcPr>
            <w:tcW w:type="dxa" w:w="1814"/>
            <w:vAlign w:val="center"/>
          </w:tcPr>
          <w:p>
            <w:pPr>
              <w:spacing w:after="0" w:line="300" w:lineRule="auto"/>
              <w:jc w:val="center"/>
            </w:pPr>
            <w:r>
              <w:rPr>
                <w:rFonts w:ascii="宋体" w:hAnsi="宋体" w:eastAsia="宋体"/>
                <w:sz w:val="19"/>
              </w:rPr>
              <w:t>信号源接口</w:t>
            </w:r>
          </w:p>
        </w:tc>
        <w:tc>
          <w:tcPr>
            <w:tcW w:type="dxa" w:w="4195"/>
            <w:vAlign w:val="center"/>
          </w:tcPr>
          <w:p>
            <w:pPr>
              <w:spacing w:after="0" w:line="300" w:lineRule="auto"/>
            </w:pPr>
            <w:r>
              <w:rPr>
                <w:rFonts w:ascii="宋体" w:hAnsi="宋体" w:eastAsia="宋体"/>
                <w:sz w:val="19"/>
              </w:rPr>
              <w:t>逐台确认腔镜、显微镜、监护、PACS、会议终端等输出接口。</w:t>
            </w:r>
          </w:p>
        </w:tc>
        <w:tc>
          <w:tcPr>
            <w:tcW w:type="dxa" w:w="3004"/>
            <w:vAlign w:val="center"/>
          </w:tcPr>
          <w:p>
            <w:pPr>
              <w:spacing w:after="0" w:line="300" w:lineRule="auto"/>
            </w:pPr>
            <w:r>
              <w:rPr>
                <w:rFonts w:ascii="宋体" w:hAnsi="宋体" w:eastAsia="宋体"/>
                <w:sz w:val="19"/>
              </w:rPr>
              <w:t>不同设备接口差异会影响采集和转换设备。</w:t>
            </w:r>
          </w:p>
        </w:tc>
      </w:tr>
      <w:tr>
        <w:tc>
          <w:tcPr>
            <w:tcW w:type="dxa" w:w="1814"/>
            <w:vAlign w:val="center"/>
          </w:tcPr>
          <w:p>
            <w:pPr>
              <w:spacing w:after="0" w:line="300" w:lineRule="auto"/>
              <w:jc w:val="center"/>
            </w:pPr>
            <w:r>
              <w:rPr>
                <w:rFonts w:ascii="宋体" w:hAnsi="宋体" w:eastAsia="宋体"/>
                <w:sz w:val="19"/>
              </w:rPr>
              <w:t>音频环境</w:t>
            </w:r>
          </w:p>
        </w:tc>
        <w:tc>
          <w:tcPr>
            <w:tcW w:type="dxa" w:w="4195"/>
            <w:vAlign w:val="center"/>
          </w:tcPr>
          <w:p>
            <w:pPr>
              <w:spacing w:after="0" w:line="300" w:lineRule="auto"/>
            </w:pPr>
            <w:r>
              <w:rPr>
                <w:rFonts w:ascii="宋体" w:hAnsi="宋体" w:eastAsia="宋体"/>
                <w:sz w:val="19"/>
              </w:rPr>
              <w:t>核对拾音范围、扩声位置、回声、噪声和隐私区域。</w:t>
            </w:r>
          </w:p>
        </w:tc>
        <w:tc>
          <w:tcPr>
            <w:tcW w:type="dxa" w:w="3004"/>
            <w:vAlign w:val="center"/>
          </w:tcPr>
          <w:p>
            <w:pPr>
              <w:spacing w:after="0" w:line="300" w:lineRule="auto"/>
            </w:pPr>
            <w:r>
              <w:rPr>
                <w:rFonts w:ascii="宋体" w:hAnsi="宋体" w:eastAsia="宋体"/>
                <w:sz w:val="19"/>
              </w:rPr>
              <w:t>音频质量往往决定示教、会诊和探视体验。</w:t>
            </w:r>
          </w:p>
        </w:tc>
      </w:tr>
    </w:tbl>
    <w:p>
      <w:pPr>
        <w:spacing w:after="40"/>
      </w:pPr>
    </w:p>
    <w:p>
      <w:pPr>
        <w:pStyle w:val="Heading2"/>
      </w:pPr>
      <w:r>
        <w:t>（三）施工与联调配合</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700"/>
            <w:shd w:fill="EAF2F8"/>
            <w:vAlign w:val="center"/>
          </w:tcPr>
          <w:p>
            <w:pPr>
              <w:spacing w:after="0"/>
              <w:jc w:val="center"/>
            </w:pPr>
            <w:r>
              <w:rPr>
                <w:rFonts w:ascii="宋体" w:hAnsi="宋体" w:eastAsia="黑体"/>
                <w:b/>
                <w:sz w:val="20"/>
              </w:rPr>
              <w:t>环节</w:t>
            </w:r>
          </w:p>
        </w:tc>
        <w:tc>
          <w:tcPr>
            <w:tcW w:type="dxa" w:w="4988"/>
            <w:shd w:fill="EAF2F8"/>
            <w:vAlign w:val="center"/>
          </w:tcPr>
          <w:p>
            <w:pPr>
              <w:spacing w:after="0"/>
              <w:jc w:val="center"/>
            </w:pPr>
            <w:r>
              <w:rPr>
                <w:rFonts w:ascii="宋体" w:hAnsi="宋体" w:eastAsia="黑体"/>
                <w:b/>
                <w:sz w:val="20"/>
              </w:rPr>
              <w:t>工作内容</w:t>
            </w:r>
          </w:p>
        </w:tc>
        <w:tc>
          <w:tcPr>
            <w:tcW w:type="dxa" w:w="2324"/>
            <w:shd w:fill="EAF2F8"/>
            <w:vAlign w:val="center"/>
          </w:tcPr>
          <w:p>
            <w:pPr>
              <w:spacing w:after="0"/>
              <w:jc w:val="center"/>
            </w:pPr>
            <w:r>
              <w:rPr>
                <w:rFonts w:ascii="宋体" w:hAnsi="宋体" w:eastAsia="黑体"/>
                <w:b/>
                <w:sz w:val="20"/>
              </w:rPr>
              <w:t>主要配合方</w:t>
            </w:r>
          </w:p>
        </w:tc>
      </w:tr>
      <w:tr>
        <w:tc>
          <w:tcPr>
            <w:tcW w:type="dxa" w:w="1700"/>
            <w:vAlign w:val="center"/>
          </w:tcPr>
          <w:p>
            <w:pPr>
              <w:spacing w:after="0" w:line="300" w:lineRule="auto"/>
              <w:jc w:val="center"/>
            </w:pPr>
            <w:r>
              <w:rPr>
                <w:rFonts w:ascii="宋体" w:hAnsi="宋体" w:eastAsia="宋体"/>
                <w:sz w:val="19"/>
              </w:rPr>
              <w:t>施工进场</w:t>
            </w:r>
          </w:p>
        </w:tc>
        <w:tc>
          <w:tcPr>
            <w:tcW w:type="dxa" w:w="4988"/>
            <w:vAlign w:val="center"/>
          </w:tcPr>
          <w:p>
            <w:pPr>
              <w:spacing w:after="0" w:line="300" w:lineRule="auto"/>
            </w:pPr>
            <w:r>
              <w:rPr>
                <w:rFonts w:ascii="宋体" w:hAnsi="宋体" w:eastAsia="宋体"/>
                <w:sz w:val="19"/>
              </w:rPr>
              <w:t>办理院内施工手续，确认人员证件、施工时间、工具材料、动火/开孔审批。</w:t>
            </w:r>
          </w:p>
        </w:tc>
        <w:tc>
          <w:tcPr>
            <w:tcW w:type="dxa" w:w="2324"/>
            <w:vAlign w:val="center"/>
          </w:tcPr>
          <w:p>
            <w:pPr>
              <w:spacing w:after="0" w:line="300" w:lineRule="auto"/>
            </w:pPr>
            <w:r>
              <w:rPr>
                <w:rFonts w:ascii="宋体" w:hAnsi="宋体" w:eastAsia="宋体"/>
                <w:sz w:val="19"/>
              </w:rPr>
              <w:t>医院总务、保卫、手术部、信息科。</w:t>
            </w:r>
          </w:p>
        </w:tc>
      </w:tr>
      <w:tr>
        <w:tc>
          <w:tcPr>
            <w:tcW w:type="dxa" w:w="1700"/>
            <w:vAlign w:val="center"/>
          </w:tcPr>
          <w:p>
            <w:pPr>
              <w:spacing w:after="0" w:line="300" w:lineRule="auto"/>
              <w:jc w:val="center"/>
            </w:pPr>
            <w:r>
              <w:rPr>
                <w:rFonts w:ascii="宋体" w:hAnsi="宋体" w:eastAsia="宋体"/>
                <w:sz w:val="19"/>
              </w:rPr>
              <w:t>线缆敷设</w:t>
            </w:r>
          </w:p>
        </w:tc>
        <w:tc>
          <w:tcPr>
            <w:tcW w:type="dxa" w:w="4988"/>
            <w:vAlign w:val="center"/>
          </w:tcPr>
          <w:p>
            <w:pPr>
              <w:spacing w:after="0" w:line="300" w:lineRule="auto"/>
            </w:pPr>
            <w:r>
              <w:rPr>
                <w:rFonts w:ascii="宋体" w:hAnsi="宋体" w:eastAsia="宋体"/>
                <w:sz w:val="19"/>
              </w:rPr>
              <w:t>按线缆表敷设网线、光纤、音频线、视频线和电源线，完成标签。</w:t>
            </w:r>
          </w:p>
        </w:tc>
        <w:tc>
          <w:tcPr>
            <w:tcW w:type="dxa" w:w="2324"/>
            <w:vAlign w:val="center"/>
          </w:tcPr>
          <w:p>
            <w:pPr>
              <w:spacing w:after="0" w:line="300" w:lineRule="auto"/>
            </w:pPr>
            <w:r>
              <w:rPr>
                <w:rFonts w:ascii="宋体" w:hAnsi="宋体" w:eastAsia="宋体"/>
                <w:sz w:val="19"/>
              </w:rPr>
              <w:t>弱电施工方、实施工程师。</w:t>
            </w:r>
          </w:p>
        </w:tc>
      </w:tr>
      <w:tr>
        <w:tc>
          <w:tcPr>
            <w:tcW w:type="dxa" w:w="1700"/>
            <w:vAlign w:val="center"/>
          </w:tcPr>
          <w:p>
            <w:pPr>
              <w:spacing w:after="0" w:line="300" w:lineRule="auto"/>
              <w:jc w:val="center"/>
            </w:pPr>
            <w:r>
              <w:rPr>
                <w:rFonts w:ascii="宋体" w:hAnsi="宋体" w:eastAsia="宋体"/>
                <w:sz w:val="19"/>
              </w:rPr>
              <w:t>设备安装</w:t>
            </w:r>
          </w:p>
        </w:tc>
        <w:tc>
          <w:tcPr>
            <w:tcW w:type="dxa" w:w="4988"/>
            <w:vAlign w:val="center"/>
          </w:tcPr>
          <w:p>
            <w:pPr>
              <w:spacing w:after="0" w:line="300" w:lineRule="auto"/>
            </w:pPr>
            <w:r>
              <w:rPr>
                <w:rFonts w:ascii="宋体" w:hAnsi="宋体" w:eastAsia="宋体"/>
                <w:sz w:val="19"/>
              </w:rPr>
              <w:t>安装摄像机、终端、显示屏、柜体、采集节点、服务器和网络设备。</w:t>
            </w:r>
          </w:p>
        </w:tc>
        <w:tc>
          <w:tcPr>
            <w:tcW w:type="dxa" w:w="2324"/>
            <w:vAlign w:val="center"/>
          </w:tcPr>
          <w:p>
            <w:pPr>
              <w:spacing w:after="0" w:line="300" w:lineRule="auto"/>
            </w:pPr>
            <w:r>
              <w:rPr>
                <w:rFonts w:ascii="宋体" w:hAnsi="宋体" w:eastAsia="宋体"/>
                <w:sz w:val="19"/>
              </w:rPr>
              <w:t>实施工程师、医学工程科。</w:t>
            </w:r>
          </w:p>
        </w:tc>
      </w:tr>
      <w:tr>
        <w:tc>
          <w:tcPr>
            <w:tcW w:type="dxa" w:w="1700"/>
            <w:vAlign w:val="center"/>
          </w:tcPr>
          <w:p>
            <w:pPr>
              <w:spacing w:after="0" w:line="300" w:lineRule="auto"/>
              <w:jc w:val="center"/>
            </w:pPr>
            <w:r>
              <w:rPr>
                <w:rFonts w:ascii="宋体" w:hAnsi="宋体" w:eastAsia="宋体"/>
                <w:sz w:val="19"/>
              </w:rPr>
              <w:t>基础调试</w:t>
            </w:r>
          </w:p>
        </w:tc>
        <w:tc>
          <w:tcPr>
            <w:tcW w:type="dxa" w:w="4988"/>
            <w:vAlign w:val="center"/>
          </w:tcPr>
          <w:p>
            <w:pPr>
              <w:spacing w:after="0" w:line="300" w:lineRule="auto"/>
            </w:pPr>
            <w:r>
              <w:rPr>
                <w:rFonts w:ascii="宋体" w:hAnsi="宋体" w:eastAsia="宋体"/>
                <w:sz w:val="19"/>
              </w:rPr>
              <w:t>完成上电、网络连通、账号建立、设备命名、时间同步和日志开启。</w:t>
            </w:r>
          </w:p>
        </w:tc>
        <w:tc>
          <w:tcPr>
            <w:tcW w:type="dxa" w:w="2324"/>
            <w:vAlign w:val="center"/>
          </w:tcPr>
          <w:p>
            <w:pPr>
              <w:spacing w:after="0" w:line="300" w:lineRule="auto"/>
            </w:pPr>
            <w:r>
              <w:rPr>
                <w:rFonts w:ascii="宋体" w:hAnsi="宋体" w:eastAsia="宋体"/>
                <w:sz w:val="19"/>
              </w:rPr>
              <w:t>实施工程师、信息科。</w:t>
            </w:r>
          </w:p>
        </w:tc>
      </w:tr>
      <w:tr>
        <w:tc>
          <w:tcPr>
            <w:tcW w:type="dxa" w:w="1700"/>
            <w:vAlign w:val="center"/>
          </w:tcPr>
          <w:p>
            <w:pPr>
              <w:spacing w:after="0" w:line="300" w:lineRule="auto"/>
              <w:jc w:val="center"/>
            </w:pPr>
            <w:r>
              <w:rPr>
                <w:rFonts w:ascii="宋体" w:hAnsi="宋体" w:eastAsia="宋体"/>
                <w:sz w:val="19"/>
              </w:rPr>
              <w:t>业务联调</w:t>
            </w:r>
          </w:p>
        </w:tc>
        <w:tc>
          <w:tcPr>
            <w:tcW w:type="dxa" w:w="4988"/>
            <w:vAlign w:val="center"/>
          </w:tcPr>
          <w:p>
            <w:pPr>
              <w:spacing w:after="0" w:line="300" w:lineRule="auto"/>
            </w:pPr>
            <w:r>
              <w:rPr>
                <w:rFonts w:ascii="宋体" w:hAnsi="宋体" w:eastAsia="宋体"/>
                <w:sz w:val="19"/>
              </w:rPr>
              <w:t>按业务流程测试采集、显示、录制、会诊、探视、发衣或门禁联动。</w:t>
            </w:r>
          </w:p>
        </w:tc>
        <w:tc>
          <w:tcPr>
            <w:tcW w:type="dxa" w:w="2324"/>
            <w:vAlign w:val="center"/>
          </w:tcPr>
          <w:p>
            <w:pPr>
              <w:spacing w:after="0" w:line="300" w:lineRule="auto"/>
            </w:pPr>
            <w:r>
              <w:rPr>
                <w:rFonts w:ascii="宋体" w:hAnsi="宋体" w:eastAsia="宋体"/>
                <w:sz w:val="19"/>
              </w:rPr>
              <w:t>实施团队、业务科室。</w:t>
            </w:r>
          </w:p>
        </w:tc>
      </w:tr>
      <w:tr>
        <w:tc>
          <w:tcPr>
            <w:tcW w:type="dxa" w:w="1700"/>
            <w:vAlign w:val="center"/>
          </w:tcPr>
          <w:p>
            <w:pPr>
              <w:spacing w:after="0" w:line="300" w:lineRule="auto"/>
              <w:jc w:val="center"/>
            </w:pPr>
            <w:r>
              <w:rPr>
                <w:rFonts w:ascii="宋体" w:hAnsi="宋体" w:eastAsia="宋体"/>
                <w:sz w:val="19"/>
              </w:rPr>
              <w:t>试运行整改</w:t>
            </w:r>
          </w:p>
        </w:tc>
        <w:tc>
          <w:tcPr>
            <w:tcW w:type="dxa" w:w="4988"/>
            <w:vAlign w:val="center"/>
          </w:tcPr>
          <w:p>
            <w:pPr>
              <w:spacing w:after="0" w:line="300" w:lineRule="auto"/>
            </w:pPr>
            <w:r>
              <w:rPr>
                <w:rFonts w:ascii="宋体" w:hAnsi="宋体" w:eastAsia="宋体"/>
                <w:sz w:val="19"/>
              </w:rPr>
              <w:t>记录问题、明确责任、整改复测、形成闭环。</w:t>
            </w:r>
          </w:p>
        </w:tc>
        <w:tc>
          <w:tcPr>
            <w:tcW w:type="dxa" w:w="2324"/>
            <w:vAlign w:val="center"/>
          </w:tcPr>
          <w:p>
            <w:pPr>
              <w:spacing w:after="0" w:line="300" w:lineRule="auto"/>
            </w:pPr>
            <w:r>
              <w:rPr>
                <w:rFonts w:ascii="宋体" w:hAnsi="宋体" w:eastAsia="宋体"/>
                <w:sz w:val="19"/>
              </w:rPr>
              <w:t>项目经理、院方负责人。</w:t>
            </w:r>
          </w:p>
        </w:tc>
      </w:tr>
    </w:tbl>
    <w:p>
      <w:pPr>
        <w:spacing w:after="40"/>
      </w:pPr>
    </w:p>
    <w:p>
      <w:pPr>
        <w:pStyle w:val="Heading2"/>
      </w:pPr>
      <w:r>
        <w:t>（四）实施步骤</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阶段</w:t>
            </w:r>
          </w:p>
        </w:tc>
        <w:tc>
          <w:tcPr>
            <w:tcW w:type="dxa" w:w="4535"/>
            <w:shd w:fill="EAF2F8"/>
            <w:vAlign w:val="center"/>
          </w:tcPr>
          <w:p>
            <w:pPr>
              <w:spacing w:after="0"/>
              <w:jc w:val="center"/>
            </w:pPr>
            <w:r>
              <w:rPr>
                <w:rFonts w:ascii="宋体" w:hAnsi="宋体" w:eastAsia="黑体"/>
                <w:b/>
                <w:sz w:val="20"/>
              </w:rPr>
              <w:t>工作内容</w:t>
            </w:r>
          </w:p>
        </w:tc>
        <w:tc>
          <w:tcPr>
            <w:tcW w:type="dxa" w:w="2664"/>
            <w:shd w:fill="EAF2F8"/>
            <w:vAlign w:val="center"/>
          </w:tcPr>
          <w:p>
            <w:pPr>
              <w:spacing w:after="0"/>
              <w:jc w:val="center"/>
            </w:pPr>
            <w:r>
              <w:rPr>
                <w:rFonts w:ascii="宋体" w:hAnsi="宋体" w:eastAsia="黑体"/>
                <w:b/>
                <w:sz w:val="20"/>
              </w:rPr>
              <w:t>输出资料</w:t>
            </w:r>
          </w:p>
        </w:tc>
      </w:tr>
      <w:tr>
        <w:tc>
          <w:tcPr>
            <w:tcW w:type="dxa" w:w="1814"/>
            <w:vAlign w:val="center"/>
          </w:tcPr>
          <w:p>
            <w:pPr>
              <w:spacing w:after="0" w:line="300" w:lineRule="auto"/>
              <w:jc w:val="center"/>
            </w:pPr>
            <w:r>
              <w:rPr>
                <w:rFonts w:ascii="宋体" w:hAnsi="宋体" w:eastAsia="宋体"/>
                <w:sz w:val="19"/>
              </w:rPr>
              <w:t>项目启动</w:t>
            </w:r>
          </w:p>
        </w:tc>
        <w:tc>
          <w:tcPr>
            <w:tcW w:type="dxa" w:w="4535"/>
            <w:vAlign w:val="center"/>
          </w:tcPr>
          <w:p>
            <w:pPr>
              <w:spacing w:after="0" w:line="300" w:lineRule="auto"/>
            </w:pPr>
            <w:r>
              <w:rPr>
                <w:rFonts w:ascii="宋体" w:hAnsi="宋体" w:eastAsia="宋体"/>
                <w:sz w:val="19"/>
              </w:rPr>
              <w:t>召开项目启动会，确认项目经理、医院联系人、施工窗口、资料提交方式和风险沟通机制。</w:t>
            </w:r>
          </w:p>
        </w:tc>
        <w:tc>
          <w:tcPr>
            <w:tcW w:type="dxa" w:w="2664"/>
            <w:vAlign w:val="center"/>
          </w:tcPr>
          <w:p>
            <w:pPr>
              <w:spacing w:after="0" w:line="300" w:lineRule="auto"/>
            </w:pPr>
            <w:r>
              <w:rPr>
                <w:rFonts w:ascii="宋体" w:hAnsi="宋体" w:eastAsia="宋体"/>
                <w:sz w:val="19"/>
              </w:rPr>
              <w:t>启动会纪要、项目计划、联系人清单。</w:t>
            </w:r>
          </w:p>
        </w:tc>
      </w:tr>
      <w:tr>
        <w:tc>
          <w:tcPr>
            <w:tcW w:type="dxa" w:w="1814"/>
            <w:vAlign w:val="center"/>
          </w:tcPr>
          <w:p>
            <w:pPr>
              <w:spacing w:after="0" w:line="300" w:lineRule="auto"/>
              <w:jc w:val="center"/>
            </w:pPr>
            <w:r>
              <w:rPr>
                <w:rFonts w:ascii="宋体" w:hAnsi="宋体" w:eastAsia="宋体"/>
                <w:sz w:val="19"/>
              </w:rPr>
              <w:t>现场复核</w:t>
            </w:r>
          </w:p>
        </w:tc>
        <w:tc>
          <w:tcPr>
            <w:tcW w:type="dxa" w:w="4535"/>
            <w:vAlign w:val="center"/>
          </w:tcPr>
          <w:p>
            <w:pPr>
              <w:spacing w:after="0" w:line="300" w:lineRule="auto"/>
            </w:pPr>
            <w:r>
              <w:rPr>
                <w:rFonts w:ascii="宋体" w:hAnsi="宋体" w:eastAsia="宋体"/>
                <w:sz w:val="19"/>
              </w:rPr>
              <w:t>复核房间、弱电间、机柜、网络、供电、显示终端、摄像点位、第三方设备接口和施工条件。</w:t>
            </w:r>
          </w:p>
        </w:tc>
        <w:tc>
          <w:tcPr>
            <w:tcW w:type="dxa" w:w="2664"/>
            <w:vAlign w:val="center"/>
          </w:tcPr>
          <w:p>
            <w:pPr>
              <w:spacing w:after="0" w:line="300" w:lineRule="auto"/>
            </w:pPr>
            <w:r>
              <w:rPr>
                <w:rFonts w:ascii="宋体" w:hAnsi="宋体" w:eastAsia="宋体"/>
                <w:sz w:val="19"/>
              </w:rPr>
              <w:t>现场勘查记录、风险清单、点位初稿。</w:t>
            </w:r>
          </w:p>
        </w:tc>
      </w:tr>
      <w:tr>
        <w:tc>
          <w:tcPr>
            <w:tcW w:type="dxa" w:w="1814"/>
            <w:vAlign w:val="center"/>
          </w:tcPr>
          <w:p>
            <w:pPr>
              <w:spacing w:after="0" w:line="300" w:lineRule="auto"/>
              <w:jc w:val="center"/>
            </w:pPr>
            <w:r>
              <w:rPr>
                <w:rFonts w:ascii="宋体" w:hAnsi="宋体" w:eastAsia="宋体"/>
                <w:sz w:val="19"/>
              </w:rPr>
              <w:t>深化设计</w:t>
            </w:r>
          </w:p>
        </w:tc>
        <w:tc>
          <w:tcPr>
            <w:tcW w:type="dxa" w:w="4535"/>
            <w:vAlign w:val="center"/>
          </w:tcPr>
          <w:p>
            <w:pPr>
              <w:spacing w:after="0" w:line="300" w:lineRule="auto"/>
            </w:pPr>
            <w:r>
              <w:rPr>
                <w:rFonts w:ascii="宋体" w:hAnsi="宋体" w:eastAsia="宋体"/>
                <w:sz w:val="19"/>
              </w:rPr>
              <w:t>形成点位图、系统拓扑、设备清单、接口清单、线缆表、IP 规划和实施计划。</w:t>
            </w:r>
          </w:p>
        </w:tc>
        <w:tc>
          <w:tcPr>
            <w:tcW w:type="dxa" w:w="2664"/>
            <w:vAlign w:val="center"/>
          </w:tcPr>
          <w:p>
            <w:pPr>
              <w:spacing w:after="0" w:line="300" w:lineRule="auto"/>
            </w:pPr>
            <w:r>
              <w:rPr>
                <w:rFonts w:ascii="宋体" w:hAnsi="宋体" w:eastAsia="宋体"/>
                <w:sz w:val="19"/>
              </w:rPr>
              <w:t>深化设计文件、设备清单、接口清单。</w:t>
            </w:r>
          </w:p>
        </w:tc>
      </w:tr>
      <w:tr>
        <w:tc>
          <w:tcPr>
            <w:tcW w:type="dxa" w:w="1814"/>
            <w:vAlign w:val="center"/>
          </w:tcPr>
          <w:p>
            <w:pPr>
              <w:spacing w:after="0" w:line="300" w:lineRule="auto"/>
              <w:jc w:val="center"/>
            </w:pPr>
            <w:r>
              <w:rPr>
                <w:rFonts w:ascii="宋体" w:hAnsi="宋体" w:eastAsia="宋体"/>
                <w:sz w:val="19"/>
              </w:rPr>
              <w:t>到货与安装</w:t>
            </w:r>
          </w:p>
        </w:tc>
        <w:tc>
          <w:tcPr>
            <w:tcW w:type="dxa" w:w="4535"/>
            <w:vAlign w:val="center"/>
          </w:tcPr>
          <w:p>
            <w:pPr>
              <w:spacing w:after="0" w:line="300" w:lineRule="auto"/>
            </w:pPr>
            <w:r>
              <w:rPr>
                <w:rFonts w:ascii="宋体" w:hAnsi="宋体" w:eastAsia="宋体"/>
                <w:sz w:val="19"/>
              </w:rPr>
              <w:t>按医院施工窗口完成设备到货验收、安装固定、线缆敷设、标签粘贴和基础上电。</w:t>
            </w:r>
          </w:p>
        </w:tc>
        <w:tc>
          <w:tcPr>
            <w:tcW w:type="dxa" w:w="2664"/>
            <w:vAlign w:val="center"/>
          </w:tcPr>
          <w:p>
            <w:pPr>
              <w:spacing w:after="0" w:line="300" w:lineRule="auto"/>
            </w:pPr>
            <w:r>
              <w:rPr>
                <w:rFonts w:ascii="宋体" w:hAnsi="宋体" w:eastAsia="宋体"/>
                <w:sz w:val="19"/>
              </w:rPr>
              <w:t>到货验收单、安装记录、线缆标签表。</w:t>
            </w:r>
          </w:p>
        </w:tc>
      </w:tr>
      <w:tr>
        <w:tc>
          <w:tcPr>
            <w:tcW w:type="dxa" w:w="1814"/>
            <w:vAlign w:val="center"/>
          </w:tcPr>
          <w:p>
            <w:pPr>
              <w:spacing w:after="0" w:line="300" w:lineRule="auto"/>
              <w:jc w:val="center"/>
            </w:pPr>
            <w:r>
              <w:rPr>
                <w:rFonts w:ascii="宋体" w:hAnsi="宋体" w:eastAsia="宋体"/>
                <w:sz w:val="19"/>
              </w:rPr>
              <w:t>系统联调</w:t>
            </w:r>
          </w:p>
        </w:tc>
        <w:tc>
          <w:tcPr>
            <w:tcW w:type="dxa" w:w="4535"/>
            <w:vAlign w:val="center"/>
          </w:tcPr>
          <w:p>
            <w:pPr>
              <w:spacing w:after="0" w:line="300" w:lineRule="auto"/>
            </w:pPr>
            <w:r>
              <w:rPr>
                <w:rFonts w:ascii="宋体" w:hAnsi="宋体" w:eastAsia="宋体"/>
                <w:sz w:val="19"/>
              </w:rPr>
              <w:t>完成采集、显示、控制、录制、权限、日志、终端访问和接口联调，并形成问题闭环。</w:t>
            </w:r>
          </w:p>
        </w:tc>
        <w:tc>
          <w:tcPr>
            <w:tcW w:type="dxa" w:w="2664"/>
            <w:vAlign w:val="center"/>
          </w:tcPr>
          <w:p>
            <w:pPr>
              <w:spacing w:after="0" w:line="300" w:lineRule="auto"/>
            </w:pPr>
            <w:r>
              <w:rPr>
                <w:rFonts w:ascii="宋体" w:hAnsi="宋体" w:eastAsia="宋体"/>
                <w:sz w:val="19"/>
              </w:rPr>
              <w:t>联调记录、问题整改表、测试截图。</w:t>
            </w:r>
          </w:p>
        </w:tc>
      </w:tr>
      <w:tr>
        <w:tc>
          <w:tcPr>
            <w:tcW w:type="dxa" w:w="1814"/>
            <w:vAlign w:val="center"/>
          </w:tcPr>
          <w:p>
            <w:pPr>
              <w:spacing w:after="0" w:line="300" w:lineRule="auto"/>
              <w:jc w:val="center"/>
            </w:pPr>
            <w:r>
              <w:rPr>
                <w:rFonts w:ascii="宋体" w:hAnsi="宋体" w:eastAsia="宋体"/>
                <w:sz w:val="19"/>
              </w:rPr>
              <w:t>培训试运行</w:t>
            </w:r>
          </w:p>
        </w:tc>
        <w:tc>
          <w:tcPr>
            <w:tcW w:type="dxa" w:w="4535"/>
            <w:vAlign w:val="center"/>
          </w:tcPr>
          <w:p>
            <w:pPr>
              <w:spacing w:after="0" w:line="300" w:lineRule="auto"/>
            </w:pPr>
            <w:r>
              <w:rPr>
                <w:rFonts w:ascii="宋体" w:hAnsi="宋体" w:eastAsia="宋体"/>
                <w:sz w:val="19"/>
              </w:rPr>
              <w:t>组织管理员、医护使用人员和运维人员培训，进入试运行并记录优化项。</w:t>
            </w:r>
          </w:p>
        </w:tc>
        <w:tc>
          <w:tcPr>
            <w:tcW w:type="dxa" w:w="2664"/>
            <w:vAlign w:val="center"/>
          </w:tcPr>
          <w:p>
            <w:pPr>
              <w:spacing w:after="0" w:line="300" w:lineRule="auto"/>
            </w:pPr>
            <w:r>
              <w:rPr>
                <w:rFonts w:ascii="宋体" w:hAnsi="宋体" w:eastAsia="宋体"/>
                <w:sz w:val="19"/>
              </w:rPr>
              <w:t>培训签到表、试运行记录、优化清单。</w:t>
            </w:r>
          </w:p>
        </w:tc>
      </w:tr>
      <w:tr>
        <w:tc>
          <w:tcPr>
            <w:tcW w:type="dxa" w:w="1814"/>
            <w:vAlign w:val="center"/>
          </w:tcPr>
          <w:p>
            <w:pPr>
              <w:spacing w:after="0" w:line="300" w:lineRule="auto"/>
              <w:jc w:val="center"/>
            </w:pPr>
            <w:r>
              <w:rPr>
                <w:rFonts w:ascii="宋体" w:hAnsi="宋体" w:eastAsia="宋体"/>
                <w:sz w:val="19"/>
              </w:rPr>
              <w:t>验收移交</w:t>
            </w:r>
          </w:p>
        </w:tc>
        <w:tc>
          <w:tcPr>
            <w:tcW w:type="dxa" w:w="4535"/>
            <w:vAlign w:val="center"/>
          </w:tcPr>
          <w:p>
            <w:pPr>
              <w:spacing w:after="0" w:line="300" w:lineRule="auto"/>
            </w:pPr>
            <w:r>
              <w:rPr>
                <w:rFonts w:ascii="宋体" w:hAnsi="宋体" w:eastAsia="宋体"/>
                <w:sz w:val="19"/>
              </w:rPr>
              <w:t>提交验收材料、培训记录、设备清单、账号权限表、配置备份和运维联系人。</w:t>
            </w:r>
          </w:p>
        </w:tc>
        <w:tc>
          <w:tcPr>
            <w:tcW w:type="dxa" w:w="2664"/>
            <w:vAlign w:val="center"/>
          </w:tcPr>
          <w:p>
            <w:pPr>
              <w:spacing w:after="0" w:line="300" w:lineRule="auto"/>
            </w:pPr>
            <w:r>
              <w:rPr>
                <w:rFonts w:ascii="宋体" w:hAnsi="宋体" w:eastAsia="宋体"/>
                <w:sz w:val="19"/>
              </w:rPr>
              <w:t>验收报告、移交清单、运维资料。</w:t>
            </w:r>
          </w:p>
        </w:tc>
      </w:tr>
    </w:tbl>
    <w:p>
      <w:pPr>
        <w:spacing w:after="40"/>
      </w:pPr>
    </w:p>
    <w:p>
      <w:pPr>
        <w:pStyle w:val="Heading2"/>
      </w:pPr>
      <w:r>
        <w:t>（五）进度计划参考</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2154"/>
            <w:shd w:fill="EAF2F8"/>
            <w:vAlign w:val="center"/>
          </w:tcPr>
          <w:p>
            <w:pPr>
              <w:spacing w:after="0"/>
              <w:jc w:val="center"/>
            </w:pPr>
            <w:r>
              <w:rPr>
                <w:rFonts w:ascii="宋体" w:hAnsi="宋体" w:eastAsia="黑体"/>
                <w:b/>
                <w:sz w:val="20"/>
              </w:rPr>
              <w:t>阶段</w:t>
            </w:r>
          </w:p>
        </w:tc>
        <w:tc>
          <w:tcPr>
            <w:tcW w:type="dxa" w:w="1700"/>
            <w:shd w:fill="EAF2F8"/>
            <w:vAlign w:val="center"/>
          </w:tcPr>
          <w:p>
            <w:pPr>
              <w:spacing w:after="0"/>
              <w:jc w:val="center"/>
            </w:pPr>
            <w:r>
              <w:rPr>
                <w:rFonts w:ascii="宋体" w:hAnsi="宋体" w:eastAsia="黑体"/>
                <w:b/>
                <w:sz w:val="20"/>
              </w:rPr>
              <w:t>参考周期</w:t>
            </w:r>
          </w:p>
        </w:tc>
        <w:tc>
          <w:tcPr>
            <w:tcW w:type="dxa" w:w="5159"/>
            <w:shd w:fill="EAF2F8"/>
            <w:vAlign w:val="center"/>
          </w:tcPr>
          <w:p>
            <w:pPr>
              <w:spacing w:after="0"/>
              <w:jc w:val="center"/>
            </w:pPr>
            <w:r>
              <w:rPr>
                <w:rFonts w:ascii="宋体" w:hAnsi="宋体" w:eastAsia="黑体"/>
                <w:b/>
                <w:sz w:val="20"/>
              </w:rPr>
              <w:t>说明</w:t>
            </w:r>
          </w:p>
        </w:tc>
      </w:tr>
      <w:tr>
        <w:tc>
          <w:tcPr>
            <w:tcW w:type="dxa" w:w="2154"/>
            <w:vAlign w:val="center"/>
          </w:tcPr>
          <w:p>
            <w:pPr>
              <w:spacing w:after="0" w:line="300" w:lineRule="auto"/>
              <w:jc w:val="center"/>
            </w:pPr>
            <w:r>
              <w:rPr>
                <w:rFonts w:ascii="宋体" w:hAnsi="宋体" w:eastAsia="宋体"/>
                <w:sz w:val="19"/>
              </w:rPr>
              <w:t>启动与勘查</w:t>
            </w:r>
          </w:p>
        </w:tc>
        <w:tc>
          <w:tcPr>
            <w:tcW w:type="dxa" w:w="1700"/>
            <w:vAlign w:val="center"/>
          </w:tcPr>
          <w:p>
            <w:pPr>
              <w:spacing w:after="0" w:line="300" w:lineRule="auto"/>
            </w:pPr>
            <w:r>
              <w:rPr>
                <w:rFonts w:ascii="宋体" w:hAnsi="宋体" w:eastAsia="宋体"/>
                <w:sz w:val="19"/>
              </w:rPr>
              <w:t>1-3 个工作日</w:t>
            </w:r>
          </w:p>
        </w:tc>
        <w:tc>
          <w:tcPr>
            <w:tcW w:type="dxa" w:w="5159"/>
            <w:vAlign w:val="center"/>
          </w:tcPr>
          <w:p>
            <w:pPr>
              <w:spacing w:after="0" w:line="300" w:lineRule="auto"/>
            </w:pPr>
            <w:r>
              <w:rPr>
                <w:rFonts w:ascii="宋体" w:hAnsi="宋体" w:eastAsia="宋体"/>
                <w:sz w:val="19"/>
              </w:rPr>
              <w:t>视医院协调、房间数量和现场条件确定。</w:t>
            </w:r>
          </w:p>
        </w:tc>
      </w:tr>
      <w:tr>
        <w:tc>
          <w:tcPr>
            <w:tcW w:type="dxa" w:w="2154"/>
            <w:vAlign w:val="center"/>
          </w:tcPr>
          <w:p>
            <w:pPr>
              <w:spacing w:after="0" w:line="300" w:lineRule="auto"/>
              <w:jc w:val="center"/>
            </w:pPr>
            <w:r>
              <w:rPr>
                <w:rFonts w:ascii="宋体" w:hAnsi="宋体" w:eastAsia="宋体"/>
                <w:sz w:val="19"/>
              </w:rPr>
              <w:t>深化设计</w:t>
            </w:r>
          </w:p>
        </w:tc>
        <w:tc>
          <w:tcPr>
            <w:tcW w:type="dxa" w:w="1700"/>
            <w:vAlign w:val="center"/>
          </w:tcPr>
          <w:p>
            <w:pPr>
              <w:spacing w:after="0" w:line="300" w:lineRule="auto"/>
            </w:pPr>
            <w:r>
              <w:rPr>
                <w:rFonts w:ascii="宋体" w:hAnsi="宋体" w:eastAsia="宋体"/>
                <w:sz w:val="19"/>
              </w:rPr>
              <w:t>3-7 个工作日</w:t>
            </w:r>
          </w:p>
        </w:tc>
        <w:tc>
          <w:tcPr>
            <w:tcW w:type="dxa" w:w="5159"/>
            <w:vAlign w:val="center"/>
          </w:tcPr>
          <w:p>
            <w:pPr>
              <w:spacing w:after="0" w:line="300" w:lineRule="auto"/>
            </w:pPr>
            <w:r>
              <w:rPr>
                <w:rFonts w:ascii="宋体" w:hAnsi="宋体" w:eastAsia="宋体"/>
                <w:sz w:val="19"/>
              </w:rPr>
              <w:t>形成点位、网络、设备、接口和实施计划。</w:t>
            </w:r>
          </w:p>
        </w:tc>
      </w:tr>
      <w:tr>
        <w:tc>
          <w:tcPr>
            <w:tcW w:type="dxa" w:w="2154"/>
            <w:vAlign w:val="center"/>
          </w:tcPr>
          <w:p>
            <w:pPr>
              <w:spacing w:after="0" w:line="300" w:lineRule="auto"/>
              <w:jc w:val="center"/>
            </w:pPr>
            <w:r>
              <w:rPr>
                <w:rFonts w:ascii="宋体" w:hAnsi="宋体" w:eastAsia="宋体"/>
                <w:sz w:val="19"/>
              </w:rPr>
              <w:t>设备到货与安装</w:t>
            </w:r>
          </w:p>
        </w:tc>
        <w:tc>
          <w:tcPr>
            <w:tcW w:type="dxa" w:w="1700"/>
            <w:vAlign w:val="center"/>
          </w:tcPr>
          <w:p>
            <w:pPr>
              <w:spacing w:after="0" w:line="300" w:lineRule="auto"/>
            </w:pPr>
            <w:r>
              <w:rPr>
                <w:rFonts w:ascii="宋体" w:hAnsi="宋体" w:eastAsia="宋体"/>
                <w:sz w:val="19"/>
              </w:rPr>
              <w:t>5-20 个工作日</w:t>
            </w:r>
          </w:p>
        </w:tc>
        <w:tc>
          <w:tcPr>
            <w:tcW w:type="dxa" w:w="5159"/>
            <w:vAlign w:val="center"/>
          </w:tcPr>
          <w:p>
            <w:pPr>
              <w:spacing w:after="0" w:line="300" w:lineRule="auto"/>
            </w:pPr>
            <w:r>
              <w:rPr>
                <w:rFonts w:ascii="宋体" w:hAnsi="宋体" w:eastAsia="宋体"/>
                <w:sz w:val="19"/>
              </w:rPr>
              <w:t>取决于设备供货、施工窗口和房间数量。</w:t>
            </w:r>
          </w:p>
        </w:tc>
      </w:tr>
      <w:tr>
        <w:tc>
          <w:tcPr>
            <w:tcW w:type="dxa" w:w="2154"/>
            <w:vAlign w:val="center"/>
          </w:tcPr>
          <w:p>
            <w:pPr>
              <w:spacing w:after="0" w:line="300" w:lineRule="auto"/>
              <w:jc w:val="center"/>
            </w:pPr>
            <w:r>
              <w:rPr>
                <w:rFonts w:ascii="宋体" w:hAnsi="宋体" w:eastAsia="宋体"/>
                <w:sz w:val="19"/>
              </w:rPr>
              <w:t>系统联调</w:t>
            </w:r>
          </w:p>
        </w:tc>
        <w:tc>
          <w:tcPr>
            <w:tcW w:type="dxa" w:w="1700"/>
            <w:vAlign w:val="center"/>
          </w:tcPr>
          <w:p>
            <w:pPr>
              <w:spacing w:after="0" w:line="300" w:lineRule="auto"/>
            </w:pPr>
            <w:r>
              <w:rPr>
                <w:rFonts w:ascii="宋体" w:hAnsi="宋体" w:eastAsia="宋体"/>
                <w:sz w:val="19"/>
              </w:rPr>
              <w:t>3-10 个工作日</w:t>
            </w:r>
          </w:p>
        </w:tc>
        <w:tc>
          <w:tcPr>
            <w:tcW w:type="dxa" w:w="5159"/>
            <w:vAlign w:val="center"/>
          </w:tcPr>
          <w:p>
            <w:pPr>
              <w:spacing w:after="0" w:line="300" w:lineRule="auto"/>
            </w:pPr>
            <w:r>
              <w:rPr>
                <w:rFonts w:ascii="宋体" w:hAnsi="宋体" w:eastAsia="宋体"/>
                <w:sz w:val="19"/>
              </w:rPr>
              <w:t>按功能、接口、权限、日志和验收项逐项测试。</w:t>
            </w:r>
          </w:p>
        </w:tc>
      </w:tr>
      <w:tr>
        <w:tc>
          <w:tcPr>
            <w:tcW w:type="dxa" w:w="2154"/>
            <w:vAlign w:val="center"/>
          </w:tcPr>
          <w:p>
            <w:pPr>
              <w:spacing w:after="0" w:line="300" w:lineRule="auto"/>
              <w:jc w:val="center"/>
            </w:pPr>
            <w:r>
              <w:rPr>
                <w:rFonts w:ascii="宋体" w:hAnsi="宋体" w:eastAsia="宋体"/>
                <w:sz w:val="19"/>
              </w:rPr>
              <w:t>培训验收</w:t>
            </w:r>
          </w:p>
        </w:tc>
        <w:tc>
          <w:tcPr>
            <w:tcW w:type="dxa" w:w="1700"/>
            <w:vAlign w:val="center"/>
          </w:tcPr>
          <w:p>
            <w:pPr>
              <w:spacing w:after="0" w:line="300" w:lineRule="auto"/>
            </w:pPr>
            <w:r>
              <w:rPr>
                <w:rFonts w:ascii="宋体" w:hAnsi="宋体" w:eastAsia="宋体"/>
                <w:sz w:val="19"/>
              </w:rPr>
              <w:t>1-5 个工作日</w:t>
            </w:r>
          </w:p>
        </w:tc>
        <w:tc>
          <w:tcPr>
            <w:tcW w:type="dxa" w:w="5159"/>
            <w:vAlign w:val="center"/>
          </w:tcPr>
          <w:p>
            <w:pPr>
              <w:spacing w:after="0" w:line="300" w:lineRule="auto"/>
            </w:pPr>
            <w:r>
              <w:rPr>
                <w:rFonts w:ascii="宋体" w:hAnsi="宋体" w:eastAsia="宋体"/>
                <w:sz w:val="19"/>
              </w:rPr>
              <w:t>组织培训、试运行、问题整改和资料移交。</w:t>
            </w:r>
          </w:p>
        </w:tc>
      </w:tr>
    </w:tbl>
    <w:p>
      <w:pPr>
        <w:spacing w:after="40"/>
      </w:pPr>
    </w:p>
    <w:p>
      <w:pPr>
        <w:pStyle w:val="Heading1"/>
      </w:pPr>
      <w:r>
        <w:t>十一、测试、联调与验收方案</w:t>
      </w:r>
    </w:p>
    <w:p>
      <w:pPr>
        <w:pStyle w:val="Heading2"/>
      </w:pPr>
      <w:r>
        <w:t>（一）验收原则</w:t>
      </w:r>
    </w:p>
    <w:p>
      <w:pPr>
        <w:spacing w:line="360" w:lineRule="auto" w:after="120"/>
        <w:ind w:firstLine="420"/>
      </w:pPr>
      <w:r>
        <w:rPr>
          <w:rFonts w:ascii="宋体" w:hAnsi="宋体" w:eastAsia="宋体"/>
          <w:sz w:val="21"/>
        </w:rPr>
        <w:t>验收应以招标文件、合同、深化设计、设备清单、接口清单和双方确认的测试记录为依据。验收重点不是单项设备是否开机，而是系统是否能按医院业务流程稳定运行。</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984"/>
            <w:shd w:fill="EAF2F8"/>
            <w:vAlign w:val="center"/>
          </w:tcPr>
          <w:p>
            <w:pPr>
              <w:spacing w:after="0"/>
              <w:jc w:val="center"/>
            </w:pPr>
            <w:r>
              <w:rPr>
                <w:rFonts w:ascii="宋体" w:hAnsi="宋体" w:eastAsia="黑体"/>
                <w:b/>
                <w:sz w:val="20"/>
              </w:rPr>
              <w:t>验收项</w:t>
            </w:r>
          </w:p>
        </w:tc>
        <w:tc>
          <w:tcPr>
            <w:tcW w:type="dxa" w:w="3968"/>
            <w:shd w:fill="EAF2F8"/>
            <w:vAlign w:val="center"/>
          </w:tcPr>
          <w:p>
            <w:pPr>
              <w:spacing w:after="0"/>
              <w:jc w:val="center"/>
            </w:pPr>
            <w:r>
              <w:rPr>
                <w:rFonts w:ascii="宋体" w:hAnsi="宋体" w:eastAsia="黑体"/>
                <w:b/>
                <w:sz w:val="20"/>
              </w:rPr>
              <w:t>测试方法</w:t>
            </w:r>
          </w:p>
        </w:tc>
        <w:tc>
          <w:tcPr>
            <w:tcW w:type="dxa" w:w="3061"/>
            <w:shd w:fill="EAF2F8"/>
            <w:vAlign w:val="center"/>
          </w:tcPr>
          <w:p>
            <w:pPr>
              <w:spacing w:after="0"/>
              <w:jc w:val="center"/>
            </w:pPr>
            <w:r>
              <w:rPr>
                <w:rFonts w:ascii="宋体" w:hAnsi="宋体" w:eastAsia="黑体"/>
                <w:b/>
                <w:sz w:val="20"/>
              </w:rPr>
              <w:t>验收输出</w:t>
            </w:r>
          </w:p>
        </w:tc>
      </w:tr>
      <w:tr>
        <w:tc>
          <w:tcPr>
            <w:tcW w:type="dxa" w:w="1984"/>
            <w:vAlign w:val="center"/>
          </w:tcPr>
          <w:p>
            <w:pPr>
              <w:spacing w:after="0" w:line="300" w:lineRule="auto"/>
              <w:jc w:val="center"/>
            </w:pPr>
            <w:r>
              <w:rPr>
                <w:rFonts w:ascii="宋体" w:hAnsi="宋体" w:eastAsia="宋体"/>
                <w:sz w:val="19"/>
              </w:rPr>
              <w:t>画面质量</w:t>
            </w:r>
          </w:p>
        </w:tc>
        <w:tc>
          <w:tcPr>
            <w:tcW w:type="dxa" w:w="3968"/>
            <w:vAlign w:val="center"/>
          </w:tcPr>
          <w:p>
            <w:pPr>
              <w:spacing w:after="0" w:line="300" w:lineRule="auto"/>
            </w:pPr>
            <w:r>
              <w:rPr>
                <w:rFonts w:ascii="宋体" w:hAnsi="宋体" w:eastAsia="宋体"/>
                <w:sz w:val="19"/>
              </w:rPr>
              <w:t>验证术野、全景、腔镜和课件画面清晰度、同步性和切换稳定性。</w:t>
            </w:r>
          </w:p>
        </w:tc>
        <w:tc>
          <w:tcPr>
            <w:tcW w:type="dxa" w:w="3061"/>
            <w:vAlign w:val="center"/>
          </w:tcPr>
          <w:p>
            <w:pPr>
              <w:spacing w:after="0" w:line="300" w:lineRule="auto"/>
            </w:pPr>
            <w:r>
              <w:rPr>
                <w:rFonts w:ascii="宋体" w:hAnsi="宋体" w:eastAsia="宋体"/>
                <w:sz w:val="19"/>
              </w:rPr>
              <w:t>画面截图、音视频测试记录、异常恢复记录。</w:t>
            </w:r>
          </w:p>
        </w:tc>
      </w:tr>
      <w:tr>
        <w:tc>
          <w:tcPr>
            <w:tcW w:type="dxa" w:w="1984"/>
            <w:vAlign w:val="center"/>
          </w:tcPr>
          <w:p>
            <w:pPr>
              <w:spacing w:after="0" w:line="300" w:lineRule="auto"/>
              <w:jc w:val="center"/>
            </w:pPr>
            <w:r>
              <w:rPr>
                <w:rFonts w:ascii="宋体" w:hAnsi="宋体" w:eastAsia="宋体"/>
                <w:sz w:val="19"/>
              </w:rPr>
              <w:t>音频互动</w:t>
            </w:r>
          </w:p>
        </w:tc>
        <w:tc>
          <w:tcPr>
            <w:tcW w:type="dxa" w:w="3968"/>
            <w:vAlign w:val="center"/>
          </w:tcPr>
          <w:p>
            <w:pPr>
              <w:spacing w:after="0" w:line="300" w:lineRule="auto"/>
            </w:pPr>
            <w:r>
              <w:rPr>
                <w:rFonts w:ascii="宋体" w:hAnsi="宋体" w:eastAsia="宋体"/>
                <w:sz w:val="19"/>
              </w:rPr>
              <w:t>验证讲解、提问、远程发言、回声控制和音量调节。</w:t>
            </w:r>
          </w:p>
        </w:tc>
        <w:tc>
          <w:tcPr>
            <w:tcW w:type="dxa" w:w="3061"/>
            <w:vAlign w:val="center"/>
          </w:tcPr>
          <w:p>
            <w:pPr>
              <w:spacing w:after="0" w:line="300" w:lineRule="auto"/>
            </w:pPr>
            <w:r>
              <w:rPr>
                <w:rFonts w:ascii="宋体" w:hAnsi="宋体" w:eastAsia="宋体"/>
                <w:sz w:val="19"/>
              </w:rPr>
              <w:t>功能测试记录、问题整改记录和验收确认记录。</w:t>
            </w:r>
          </w:p>
        </w:tc>
      </w:tr>
      <w:tr>
        <w:tc>
          <w:tcPr>
            <w:tcW w:type="dxa" w:w="1984"/>
            <w:vAlign w:val="center"/>
          </w:tcPr>
          <w:p>
            <w:pPr>
              <w:spacing w:after="0" w:line="300" w:lineRule="auto"/>
              <w:jc w:val="center"/>
            </w:pPr>
            <w:r>
              <w:rPr>
                <w:rFonts w:ascii="宋体" w:hAnsi="宋体" w:eastAsia="宋体"/>
                <w:sz w:val="19"/>
              </w:rPr>
              <w:t>录制回看</w:t>
            </w:r>
          </w:p>
        </w:tc>
        <w:tc>
          <w:tcPr>
            <w:tcW w:type="dxa" w:w="3968"/>
            <w:vAlign w:val="center"/>
          </w:tcPr>
          <w:p>
            <w:pPr>
              <w:spacing w:after="0" w:line="300" w:lineRule="auto"/>
            </w:pPr>
            <w:r>
              <w:rPr>
                <w:rFonts w:ascii="宋体" w:hAnsi="宋体" w:eastAsia="宋体"/>
                <w:sz w:val="19"/>
              </w:rPr>
              <w:t>验证文件完整性、课程分类、检索、播放和权限控制。</w:t>
            </w:r>
          </w:p>
        </w:tc>
        <w:tc>
          <w:tcPr>
            <w:tcW w:type="dxa" w:w="3061"/>
            <w:vAlign w:val="center"/>
          </w:tcPr>
          <w:p>
            <w:pPr>
              <w:spacing w:after="0" w:line="300" w:lineRule="auto"/>
            </w:pPr>
            <w:r>
              <w:rPr>
                <w:rFonts w:ascii="宋体" w:hAnsi="宋体" w:eastAsia="宋体"/>
                <w:sz w:val="19"/>
              </w:rPr>
              <w:t>录制样例、归档记录、回看权限测试记录。</w:t>
            </w:r>
          </w:p>
        </w:tc>
      </w:tr>
      <w:tr>
        <w:tc>
          <w:tcPr>
            <w:tcW w:type="dxa" w:w="1984"/>
            <w:vAlign w:val="center"/>
          </w:tcPr>
          <w:p>
            <w:pPr>
              <w:spacing w:after="0" w:line="300" w:lineRule="auto"/>
              <w:jc w:val="center"/>
            </w:pPr>
            <w:r>
              <w:rPr>
                <w:rFonts w:ascii="宋体" w:hAnsi="宋体" w:eastAsia="宋体"/>
                <w:sz w:val="19"/>
              </w:rPr>
              <w:t>隐私控制</w:t>
            </w:r>
          </w:p>
        </w:tc>
        <w:tc>
          <w:tcPr>
            <w:tcW w:type="dxa" w:w="3968"/>
            <w:vAlign w:val="center"/>
          </w:tcPr>
          <w:p>
            <w:pPr>
              <w:spacing w:after="0" w:line="300" w:lineRule="auto"/>
            </w:pPr>
            <w:r>
              <w:rPr>
                <w:rFonts w:ascii="宋体" w:hAnsi="宋体" w:eastAsia="宋体"/>
                <w:sz w:val="19"/>
              </w:rPr>
              <w:t>验证账号、授权、下载、录制和访问日志是否符合院方要求。</w:t>
            </w:r>
          </w:p>
        </w:tc>
        <w:tc>
          <w:tcPr>
            <w:tcW w:type="dxa" w:w="3061"/>
            <w:vAlign w:val="center"/>
          </w:tcPr>
          <w:p>
            <w:pPr>
              <w:spacing w:after="0" w:line="300" w:lineRule="auto"/>
            </w:pPr>
            <w:r>
              <w:rPr>
                <w:rFonts w:ascii="宋体" w:hAnsi="宋体" w:eastAsia="宋体"/>
                <w:sz w:val="19"/>
              </w:rPr>
              <w:t>功能测试记录、问题整改记录和验收确认记录。</w:t>
            </w:r>
          </w:p>
        </w:tc>
      </w:tr>
    </w:tbl>
    <w:p>
      <w:pPr>
        <w:spacing w:after="40"/>
      </w:pPr>
    </w:p>
    <w:p>
      <w:pPr>
        <w:pStyle w:val="Heading2"/>
      </w:pPr>
      <w:r>
        <w:t>（二）场景化验收用例</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984"/>
            <w:shd w:fill="EAF2F8"/>
            <w:vAlign w:val="center"/>
          </w:tcPr>
          <w:p>
            <w:pPr>
              <w:spacing w:after="0"/>
              <w:jc w:val="center"/>
            </w:pPr>
            <w:r>
              <w:rPr>
                <w:rFonts w:ascii="宋体" w:hAnsi="宋体" w:eastAsia="黑体"/>
                <w:b/>
                <w:sz w:val="20"/>
              </w:rPr>
              <w:t>验收场景</w:t>
            </w:r>
          </w:p>
        </w:tc>
        <w:tc>
          <w:tcPr>
            <w:tcW w:type="dxa" w:w="4195"/>
            <w:shd w:fill="EAF2F8"/>
            <w:vAlign w:val="center"/>
          </w:tcPr>
          <w:p>
            <w:pPr>
              <w:spacing w:after="0"/>
              <w:jc w:val="center"/>
            </w:pPr>
            <w:r>
              <w:rPr>
                <w:rFonts w:ascii="宋体" w:hAnsi="宋体" w:eastAsia="黑体"/>
                <w:b/>
                <w:sz w:val="20"/>
              </w:rPr>
              <w:t>测试步骤</w:t>
            </w:r>
          </w:p>
        </w:tc>
        <w:tc>
          <w:tcPr>
            <w:tcW w:type="dxa" w:w="2834"/>
            <w:shd w:fill="EAF2F8"/>
            <w:vAlign w:val="center"/>
          </w:tcPr>
          <w:p>
            <w:pPr>
              <w:spacing w:after="0"/>
              <w:jc w:val="center"/>
            </w:pPr>
            <w:r>
              <w:rPr>
                <w:rFonts w:ascii="宋体" w:hAnsi="宋体" w:eastAsia="黑体"/>
                <w:b/>
                <w:sz w:val="20"/>
              </w:rPr>
              <w:t>通过标准</w:t>
            </w:r>
          </w:p>
        </w:tc>
      </w:tr>
      <w:tr>
        <w:tc>
          <w:tcPr>
            <w:tcW w:type="dxa" w:w="1984"/>
            <w:vAlign w:val="center"/>
          </w:tcPr>
          <w:p>
            <w:pPr>
              <w:spacing w:after="0" w:line="300" w:lineRule="auto"/>
              <w:jc w:val="center"/>
            </w:pPr>
            <w:r>
              <w:rPr>
                <w:rFonts w:ascii="宋体" w:hAnsi="宋体" w:eastAsia="宋体"/>
                <w:sz w:val="19"/>
              </w:rPr>
              <w:t>课程创建</w:t>
            </w:r>
          </w:p>
        </w:tc>
        <w:tc>
          <w:tcPr>
            <w:tcW w:type="dxa" w:w="4195"/>
            <w:vAlign w:val="center"/>
          </w:tcPr>
          <w:p>
            <w:pPr>
              <w:spacing w:after="0" w:line="300" w:lineRule="auto"/>
            </w:pPr>
            <w:r>
              <w:rPr>
                <w:rFonts w:ascii="宋体" w:hAnsi="宋体" w:eastAsia="宋体"/>
                <w:sz w:val="19"/>
              </w:rPr>
              <w:t>创建手术示教课程，绑定手术间、时间、观看人员和录制策略。</w:t>
            </w:r>
          </w:p>
        </w:tc>
        <w:tc>
          <w:tcPr>
            <w:tcW w:type="dxa" w:w="2834"/>
            <w:vAlign w:val="center"/>
          </w:tcPr>
          <w:p>
            <w:pPr>
              <w:spacing w:after="0" w:line="300" w:lineRule="auto"/>
            </w:pPr>
            <w:r>
              <w:rPr>
                <w:rFonts w:ascii="宋体" w:hAnsi="宋体" w:eastAsia="宋体"/>
                <w:sz w:val="19"/>
              </w:rPr>
              <w:t>课程信息完整，权限生效。</w:t>
            </w:r>
          </w:p>
        </w:tc>
      </w:tr>
      <w:tr>
        <w:tc>
          <w:tcPr>
            <w:tcW w:type="dxa" w:w="1984"/>
            <w:vAlign w:val="center"/>
          </w:tcPr>
          <w:p>
            <w:pPr>
              <w:spacing w:after="0" w:line="300" w:lineRule="auto"/>
              <w:jc w:val="center"/>
            </w:pPr>
            <w:r>
              <w:rPr>
                <w:rFonts w:ascii="宋体" w:hAnsi="宋体" w:eastAsia="宋体"/>
                <w:sz w:val="19"/>
              </w:rPr>
              <w:t>多画面导播</w:t>
            </w:r>
          </w:p>
        </w:tc>
        <w:tc>
          <w:tcPr>
            <w:tcW w:type="dxa" w:w="4195"/>
            <w:vAlign w:val="center"/>
          </w:tcPr>
          <w:p>
            <w:pPr>
              <w:spacing w:after="0" w:line="300" w:lineRule="auto"/>
            </w:pPr>
            <w:r>
              <w:rPr>
                <w:rFonts w:ascii="宋体" w:hAnsi="宋体" w:eastAsia="宋体"/>
                <w:sz w:val="19"/>
              </w:rPr>
              <w:t>术野、腔镜、全景和课件画面切换或合成。</w:t>
            </w:r>
          </w:p>
        </w:tc>
        <w:tc>
          <w:tcPr>
            <w:tcW w:type="dxa" w:w="2834"/>
            <w:vAlign w:val="center"/>
          </w:tcPr>
          <w:p>
            <w:pPr>
              <w:spacing w:after="0" w:line="300" w:lineRule="auto"/>
            </w:pPr>
            <w:r>
              <w:rPr>
                <w:rFonts w:ascii="宋体" w:hAnsi="宋体" w:eastAsia="宋体"/>
                <w:sz w:val="19"/>
              </w:rPr>
              <w:t>主画面清晰，声音同步，导播可控。</w:t>
            </w:r>
          </w:p>
        </w:tc>
      </w:tr>
      <w:tr>
        <w:tc>
          <w:tcPr>
            <w:tcW w:type="dxa" w:w="1984"/>
            <w:vAlign w:val="center"/>
          </w:tcPr>
          <w:p>
            <w:pPr>
              <w:spacing w:after="0" w:line="300" w:lineRule="auto"/>
              <w:jc w:val="center"/>
            </w:pPr>
            <w:r>
              <w:rPr>
                <w:rFonts w:ascii="宋体" w:hAnsi="宋体" w:eastAsia="宋体"/>
                <w:sz w:val="19"/>
              </w:rPr>
              <w:t>学员观看</w:t>
            </w:r>
          </w:p>
        </w:tc>
        <w:tc>
          <w:tcPr>
            <w:tcW w:type="dxa" w:w="4195"/>
            <w:vAlign w:val="center"/>
          </w:tcPr>
          <w:p>
            <w:pPr>
              <w:spacing w:after="0" w:line="300" w:lineRule="auto"/>
            </w:pPr>
            <w:r>
              <w:rPr>
                <w:rFonts w:ascii="宋体" w:hAnsi="宋体" w:eastAsia="宋体"/>
                <w:sz w:val="19"/>
              </w:rPr>
              <w:t>示教室或授权终端观看直播并进行互动。</w:t>
            </w:r>
          </w:p>
        </w:tc>
        <w:tc>
          <w:tcPr>
            <w:tcW w:type="dxa" w:w="2834"/>
            <w:vAlign w:val="center"/>
          </w:tcPr>
          <w:p>
            <w:pPr>
              <w:spacing w:after="0" w:line="300" w:lineRule="auto"/>
            </w:pPr>
            <w:r>
              <w:rPr>
                <w:rFonts w:ascii="宋体" w:hAnsi="宋体" w:eastAsia="宋体"/>
                <w:sz w:val="19"/>
              </w:rPr>
              <w:t>观看权限正确，互动音频无明显回声。</w:t>
            </w:r>
          </w:p>
        </w:tc>
      </w:tr>
      <w:tr>
        <w:tc>
          <w:tcPr>
            <w:tcW w:type="dxa" w:w="1984"/>
            <w:vAlign w:val="center"/>
          </w:tcPr>
          <w:p>
            <w:pPr>
              <w:spacing w:after="0" w:line="300" w:lineRule="auto"/>
              <w:jc w:val="center"/>
            </w:pPr>
            <w:r>
              <w:rPr>
                <w:rFonts w:ascii="宋体" w:hAnsi="宋体" w:eastAsia="宋体"/>
                <w:sz w:val="19"/>
              </w:rPr>
              <w:t>课后归档</w:t>
            </w:r>
          </w:p>
        </w:tc>
        <w:tc>
          <w:tcPr>
            <w:tcW w:type="dxa" w:w="4195"/>
            <w:vAlign w:val="center"/>
          </w:tcPr>
          <w:p>
            <w:pPr>
              <w:spacing w:after="0" w:line="300" w:lineRule="auto"/>
            </w:pPr>
            <w:r>
              <w:rPr>
                <w:rFonts w:ascii="宋体" w:hAnsi="宋体" w:eastAsia="宋体"/>
                <w:sz w:val="19"/>
              </w:rPr>
              <w:t>课程录像归档、打标签、检索和回放。</w:t>
            </w:r>
          </w:p>
        </w:tc>
        <w:tc>
          <w:tcPr>
            <w:tcW w:type="dxa" w:w="2834"/>
            <w:vAlign w:val="center"/>
          </w:tcPr>
          <w:p>
            <w:pPr>
              <w:spacing w:after="0" w:line="300" w:lineRule="auto"/>
            </w:pPr>
            <w:r>
              <w:rPr>
                <w:rFonts w:ascii="宋体" w:hAnsi="宋体" w:eastAsia="宋体"/>
                <w:sz w:val="19"/>
              </w:rPr>
              <w:t>资源可查，下载权限和日志符合要求。</w:t>
            </w:r>
          </w:p>
        </w:tc>
      </w:tr>
    </w:tbl>
    <w:p>
      <w:pPr>
        <w:spacing w:after="40"/>
      </w:pPr>
    </w:p>
    <w:p>
      <w:pPr>
        <w:pStyle w:val="Heading2"/>
      </w:pPr>
      <w:r>
        <w:t>（三）通用验收资料</w:t>
      </w:r>
    </w:p>
    <w:p>
      <w:pPr>
        <w:spacing w:line="324" w:lineRule="auto" w:after="80"/>
        <w:ind w:left="480" w:hanging="360"/>
      </w:pPr>
      <w:r>
        <w:rPr>
          <w:rFonts w:ascii="宋体" w:hAnsi="宋体" w:eastAsia="宋体"/>
          <w:sz w:val="21"/>
        </w:rPr>
        <w:t>1. 设备清单、序列号、安装点位、网络地址和账号权限表。</w:t>
      </w:r>
    </w:p>
    <w:p>
      <w:pPr>
        <w:spacing w:line="324" w:lineRule="auto" w:after="80"/>
        <w:ind w:left="480" w:hanging="360"/>
      </w:pPr>
      <w:r>
        <w:rPr>
          <w:rFonts w:ascii="宋体" w:hAnsi="宋体" w:eastAsia="宋体"/>
          <w:sz w:val="21"/>
        </w:rPr>
        <w:t>2. 功能测试记录、接口联调记录、问题整改记录和试运行记录。</w:t>
      </w:r>
    </w:p>
    <w:p>
      <w:pPr>
        <w:spacing w:line="324" w:lineRule="auto" w:after="80"/>
        <w:ind w:left="480" w:hanging="360"/>
      </w:pPr>
      <w:r>
        <w:rPr>
          <w:rFonts w:ascii="宋体" w:hAnsi="宋体" w:eastAsia="宋体"/>
          <w:sz w:val="21"/>
        </w:rPr>
        <w:t>3. 用户培训签到表、操作手册、运维手册和常见问题处理说明。</w:t>
      </w:r>
    </w:p>
    <w:p>
      <w:pPr>
        <w:spacing w:line="324" w:lineRule="auto" w:after="80"/>
        <w:ind w:left="480" w:hanging="360"/>
      </w:pPr>
      <w:r>
        <w:rPr>
          <w:rFonts w:ascii="宋体" w:hAnsi="宋体" w:eastAsia="宋体"/>
          <w:sz w:val="21"/>
        </w:rPr>
        <w:t>4. 验收报告、移交清单、备份资料和售后服务联系人。</w:t>
      </w:r>
    </w:p>
    <w:p>
      <w:pPr>
        <w:pStyle w:val="Heading2"/>
      </w:pPr>
      <w:r>
        <w:t>（四）项目交付资料清单</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资料类别</w:t>
            </w:r>
          </w:p>
        </w:tc>
        <w:tc>
          <w:tcPr>
            <w:tcW w:type="dxa" w:w="4535"/>
            <w:shd w:fill="EAF2F8"/>
            <w:vAlign w:val="center"/>
          </w:tcPr>
          <w:p>
            <w:pPr>
              <w:spacing w:after="0"/>
              <w:jc w:val="center"/>
            </w:pPr>
            <w:r>
              <w:rPr>
                <w:rFonts w:ascii="宋体" w:hAnsi="宋体" w:eastAsia="黑体"/>
                <w:b/>
                <w:sz w:val="20"/>
              </w:rPr>
              <w:t>资料内容</w:t>
            </w:r>
          </w:p>
        </w:tc>
        <w:tc>
          <w:tcPr>
            <w:tcW w:type="dxa" w:w="2664"/>
            <w:shd w:fill="EAF2F8"/>
            <w:vAlign w:val="center"/>
          </w:tcPr>
          <w:p>
            <w:pPr>
              <w:spacing w:after="0"/>
              <w:jc w:val="center"/>
            </w:pPr>
            <w:r>
              <w:rPr>
                <w:rFonts w:ascii="宋体" w:hAnsi="宋体" w:eastAsia="黑体"/>
                <w:b/>
                <w:sz w:val="20"/>
              </w:rPr>
              <w:t>用途</w:t>
            </w:r>
          </w:p>
        </w:tc>
      </w:tr>
      <w:tr>
        <w:tc>
          <w:tcPr>
            <w:tcW w:type="dxa" w:w="1814"/>
            <w:vAlign w:val="center"/>
          </w:tcPr>
          <w:p>
            <w:pPr>
              <w:spacing w:after="0" w:line="300" w:lineRule="auto"/>
              <w:jc w:val="center"/>
            </w:pPr>
            <w:r>
              <w:rPr>
                <w:rFonts w:ascii="宋体" w:hAnsi="宋体" w:eastAsia="宋体"/>
                <w:sz w:val="19"/>
              </w:rPr>
              <w:t>深化设计资料</w:t>
            </w:r>
          </w:p>
        </w:tc>
        <w:tc>
          <w:tcPr>
            <w:tcW w:type="dxa" w:w="4535"/>
            <w:vAlign w:val="center"/>
          </w:tcPr>
          <w:p>
            <w:pPr>
              <w:spacing w:after="0" w:line="300" w:lineRule="auto"/>
            </w:pPr>
            <w:r>
              <w:rPr>
                <w:rFonts w:ascii="宋体" w:hAnsi="宋体" w:eastAsia="宋体"/>
                <w:sz w:val="19"/>
              </w:rPr>
              <w:t>系统拓扑图、点位图、线缆表、设备清单、接口清单、IP 地址规划。</w:t>
            </w:r>
          </w:p>
        </w:tc>
        <w:tc>
          <w:tcPr>
            <w:tcW w:type="dxa" w:w="2664"/>
            <w:vAlign w:val="center"/>
          </w:tcPr>
          <w:p>
            <w:pPr>
              <w:spacing w:after="0" w:line="300" w:lineRule="auto"/>
            </w:pPr>
            <w:r>
              <w:rPr>
                <w:rFonts w:ascii="宋体" w:hAnsi="宋体" w:eastAsia="宋体"/>
                <w:sz w:val="19"/>
              </w:rPr>
              <w:t>用于施工、联调和验收。</w:t>
            </w:r>
          </w:p>
        </w:tc>
      </w:tr>
      <w:tr>
        <w:tc>
          <w:tcPr>
            <w:tcW w:type="dxa" w:w="1814"/>
            <w:vAlign w:val="center"/>
          </w:tcPr>
          <w:p>
            <w:pPr>
              <w:spacing w:after="0" w:line="300" w:lineRule="auto"/>
              <w:jc w:val="center"/>
            </w:pPr>
            <w:r>
              <w:rPr>
                <w:rFonts w:ascii="宋体" w:hAnsi="宋体" w:eastAsia="宋体"/>
                <w:sz w:val="19"/>
              </w:rPr>
              <w:t>安装调试资料</w:t>
            </w:r>
          </w:p>
        </w:tc>
        <w:tc>
          <w:tcPr>
            <w:tcW w:type="dxa" w:w="4535"/>
            <w:vAlign w:val="center"/>
          </w:tcPr>
          <w:p>
            <w:pPr>
              <w:spacing w:after="0" w:line="300" w:lineRule="auto"/>
            </w:pPr>
            <w:r>
              <w:rPr>
                <w:rFonts w:ascii="宋体" w:hAnsi="宋体" w:eastAsia="宋体"/>
                <w:sz w:val="19"/>
              </w:rPr>
              <w:t>到货验收单、安装记录、设备序列号、调试记录、照片或截图。</w:t>
            </w:r>
          </w:p>
        </w:tc>
        <w:tc>
          <w:tcPr>
            <w:tcW w:type="dxa" w:w="2664"/>
            <w:vAlign w:val="center"/>
          </w:tcPr>
          <w:p>
            <w:pPr>
              <w:spacing w:after="0" w:line="300" w:lineRule="auto"/>
            </w:pPr>
            <w:r>
              <w:rPr>
                <w:rFonts w:ascii="宋体" w:hAnsi="宋体" w:eastAsia="宋体"/>
                <w:sz w:val="19"/>
              </w:rPr>
              <w:t>用于过程追溯和资产管理。</w:t>
            </w:r>
          </w:p>
        </w:tc>
      </w:tr>
      <w:tr>
        <w:tc>
          <w:tcPr>
            <w:tcW w:type="dxa" w:w="1814"/>
            <w:vAlign w:val="center"/>
          </w:tcPr>
          <w:p>
            <w:pPr>
              <w:spacing w:after="0" w:line="300" w:lineRule="auto"/>
              <w:jc w:val="center"/>
            </w:pPr>
            <w:r>
              <w:rPr>
                <w:rFonts w:ascii="宋体" w:hAnsi="宋体" w:eastAsia="宋体"/>
                <w:sz w:val="19"/>
              </w:rPr>
              <w:t>接口联调资料</w:t>
            </w:r>
          </w:p>
        </w:tc>
        <w:tc>
          <w:tcPr>
            <w:tcW w:type="dxa" w:w="4535"/>
            <w:vAlign w:val="center"/>
          </w:tcPr>
          <w:p>
            <w:pPr>
              <w:spacing w:after="0" w:line="300" w:lineRule="auto"/>
            </w:pPr>
            <w:r>
              <w:rPr>
                <w:rFonts w:ascii="宋体" w:hAnsi="宋体" w:eastAsia="宋体"/>
                <w:sz w:val="19"/>
              </w:rPr>
              <w:t>接口字段表、联调记录、问题清单、整改记录和接口验收确认。</w:t>
            </w:r>
          </w:p>
        </w:tc>
        <w:tc>
          <w:tcPr>
            <w:tcW w:type="dxa" w:w="2664"/>
            <w:vAlign w:val="center"/>
          </w:tcPr>
          <w:p>
            <w:pPr>
              <w:spacing w:after="0" w:line="300" w:lineRule="auto"/>
            </w:pPr>
            <w:r>
              <w:rPr>
                <w:rFonts w:ascii="宋体" w:hAnsi="宋体" w:eastAsia="宋体"/>
                <w:sz w:val="19"/>
              </w:rPr>
              <w:t>用于界定第三方系统协作边界。</w:t>
            </w:r>
          </w:p>
        </w:tc>
      </w:tr>
      <w:tr>
        <w:tc>
          <w:tcPr>
            <w:tcW w:type="dxa" w:w="1814"/>
            <w:vAlign w:val="center"/>
          </w:tcPr>
          <w:p>
            <w:pPr>
              <w:spacing w:after="0" w:line="300" w:lineRule="auto"/>
              <w:jc w:val="center"/>
            </w:pPr>
            <w:r>
              <w:rPr>
                <w:rFonts w:ascii="宋体" w:hAnsi="宋体" w:eastAsia="宋体"/>
                <w:sz w:val="19"/>
              </w:rPr>
              <w:t>测试验收资料</w:t>
            </w:r>
          </w:p>
        </w:tc>
        <w:tc>
          <w:tcPr>
            <w:tcW w:type="dxa" w:w="4535"/>
            <w:vAlign w:val="center"/>
          </w:tcPr>
          <w:p>
            <w:pPr>
              <w:spacing w:after="0" w:line="300" w:lineRule="auto"/>
            </w:pPr>
            <w:r>
              <w:rPr>
                <w:rFonts w:ascii="宋体" w:hAnsi="宋体" w:eastAsia="宋体"/>
                <w:sz w:val="19"/>
              </w:rPr>
              <w:t>功能测试记录、场景验收记录、试运行记录、问题闭环表。</w:t>
            </w:r>
          </w:p>
        </w:tc>
        <w:tc>
          <w:tcPr>
            <w:tcW w:type="dxa" w:w="2664"/>
            <w:vAlign w:val="center"/>
          </w:tcPr>
          <w:p>
            <w:pPr>
              <w:spacing w:after="0" w:line="300" w:lineRule="auto"/>
            </w:pPr>
            <w:r>
              <w:rPr>
                <w:rFonts w:ascii="宋体" w:hAnsi="宋体" w:eastAsia="宋体"/>
                <w:sz w:val="19"/>
              </w:rPr>
              <w:t>用于项目验收和后期复盘。</w:t>
            </w:r>
          </w:p>
        </w:tc>
      </w:tr>
      <w:tr>
        <w:tc>
          <w:tcPr>
            <w:tcW w:type="dxa" w:w="1814"/>
            <w:vAlign w:val="center"/>
          </w:tcPr>
          <w:p>
            <w:pPr>
              <w:spacing w:after="0" w:line="300" w:lineRule="auto"/>
              <w:jc w:val="center"/>
            </w:pPr>
            <w:r>
              <w:rPr>
                <w:rFonts w:ascii="宋体" w:hAnsi="宋体" w:eastAsia="宋体"/>
                <w:sz w:val="19"/>
              </w:rPr>
              <w:t>培训运维资料</w:t>
            </w:r>
          </w:p>
        </w:tc>
        <w:tc>
          <w:tcPr>
            <w:tcW w:type="dxa" w:w="4535"/>
            <w:vAlign w:val="center"/>
          </w:tcPr>
          <w:p>
            <w:pPr>
              <w:spacing w:after="0" w:line="300" w:lineRule="auto"/>
            </w:pPr>
            <w:r>
              <w:rPr>
                <w:rFonts w:ascii="宋体" w:hAnsi="宋体" w:eastAsia="宋体"/>
                <w:sz w:val="19"/>
              </w:rPr>
              <w:t>操作手册、管理员手册、培训签到表、账号权限表、常见问题处理说明。</w:t>
            </w:r>
          </w:p>
        </w:tc>
        <w:tc>
          <w:tcPr>
            <w:tcW w:type="dxa" w:w="2664"/>
            <w:vAlign w:val="center"/>
          </w:tcPr>
          <w:p>
            <w:pPr>
              <w:spacing w:after="0" w:line="300" w:lineRule="auto"/>
            </w:pPr>
            <w:r>
              <w:rPr>
                <w:rFonts w:ascii="宋体" w:hAnsi="宋体" w:eastAsia="宋体"/>
                <w:sz w:val="19"/>
              </w:rPr>
              <w:t>用于医院交接和日常运维。</w:t>
            </w:r>
          </w:p>
        </w:tc>
      </w:tr>
      <w:tr>
        <w:tc>
          <w:tcPr>
            <w:tcW w:type="dxa" w:w="1814"/>
            <w:vAlign w:val="center"/>
          </w:tcPr>
          <w:p>
            <w:pPr>
              <w:spacing w:after="0" w:line="300" w:lineRule="auto"/>
              <w:jc w:val="center"/>
            </w:pPr>
            <w:r>
              <w:rPr>
                <w:rFonts w:ascii="宋体" w:hAnsi="宋体" w:eastAsia="宋体"/>
                <w:sz w:val="19"/>
              </w:rPr>
              <w:t>售后服务资料</w:t>
            </w:r>
          </w:p>
        </w:tc>
        <w:tc>
          <w:tcPr>
            <w:tcW w:type="dxa" w:w="4535"/>
            <w:vAlign w:val="center"/>
          </w:tcPr>
          <w:p>
            <w:pPr>
              <w:spacing w:after="0" w:line="300" w:lineRule="auto"/>
            </w:pPr>
            <w:r>
              <w:rPr>
                <w:rFonts w:ascii="宋体" w:hAnsi="宋体" w:eastAsia="宋体"/>
                <w:sz w:val="19"/>
              </w:rPr>
              <w:t>售后联系人、响应方式、质保范围、备件说明和服务记录模板。</w:t>
            </w:r>
          </w:p>
        </w:tc>
        <w:tc>
          <w:tcPr>
            <w:tcW w:type="dxa" w:w="2664"/>
            <w:vAlign w:val="center"/>
          </w:tcPr>
          <w:p>
            <w:pPr>
              <w:spacing w:after="0" w:line="300" w:lineRule="auto"/>
            </w:pPr>
            <w:r>
              <w:rPr>
                <w:rFonts w:ascii="宋体" w:hAnsi="宋体" w:eastAsia="宋体"/>
                <w:sz w:val="19"/>
              </w:rPr>
              <w:t>用于合同期内服务管理。</w:t>
            </w:r>
          </w:p>
        </w:tc>
      </w:tr>
    </w:tbl>
    <w:p>
      <w:pPr>
        <w:spacing w:after="40"/>
      </w:pPr>
    </w:p>
    <w:p>
      <w:pPr>
        <w:pStyle w:val="Heading2"/>
      </w:pPr>
      <w:r>
        <w:t>（五）常见风险与处置</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风险项</w:t>
            </w:r>
          </w:p>
        </w:tc>
        <w:tc>
          <w:tcPr>
            <w:tcW w:type="dxa" w:w="3514"/>
            <w:shd w:fill="EAF2F8"/>
            <w:vAlign w:val="center"/>
          </w:tcPr>
          <w:p>
            <w:pPr>
              <w:spacing w:after="0"/>
              <w:jc w:val="center"/>
            </w:pPr>
            <w:r>
              <w:rPr>
                <w:rFonts w:ascii="宋体" w:hAnsi="宋体" w:eastAsia="黑体"/>
                <w:b/>
                <w:sz w:val="20"/>
              </w:rPr>
              <w:t>风险表现</w:t>
            </w:r>
          </w:p>
        </w:tc>
        <w:tc>
          <w:tcPr>
            <w:tcW w:type="dxa" w:w="3685"/>
            <w:shd w:fill="EAF2F8"/>
            <w:vAlign w:val="center"/>
          </w:tcPr>
          <w:p>
            <w:pPr>
              <w:spacing w:after="0"/>
              <w:jc w:val="center"/>
            </w:pPr>
            <w:r>
              <w:rPr>
                <w:rFonts w:ascii="宋体" w:hAnsi="宋体" w:eastAsia="黑体"/>
                <w:b/>
                <w:sz w:val="20"/>
              </w:rPr>
              <w:t>处置建议</w:t>
            </w:r>
          </w:p>
        </w:tc>
      </w:tr>
      <w:tr>
        <w:tc>
          <w:tcPr>
            <w:tcW w:type="dxa" w:w="1814"/>
            <w:vAlign w:val="center"/>
          </w:tcPr>
          <w:p>
            <w:pPr>
              <w:spacing w:after="0" w:line="300" w:lineRule="auto"/>
              <w:jc w:val="center"/>
            </w:pPr>
            <w:r>
              <w:rPr>
                <w:rFonts w:ascii="宋体" w:hAnsi="宋体" w:eastAsia="宋体"/>
                <w:sz w:val="19"/>
              </w:rPr>
              <w:t>接口开放不确定</w:t>
            </w:r>
          </w:p>
        </w:tc>
        <w:tc>
          <w:tcPr>
            <w:tcW w:type="dxa" w:w="3514"/>
            <w:vAlign w:val="center"/>
          </w:tcPr>
          <w:p>
            <w:pPr>
              <w:spacing w:after="0" w:line="300" w:lineRule="auto"/>
            </w:pPr>
            <w:r>
              <w:rPr>
                <w:rFonts w:ascii="宋体" w:hAnsi="宋体" w:eastAsia="宋体"/>
                <w:sz w:val="19"/>
              </w:rPr>
              <w:t>第三方系统未开放接口、字段不完整或联调周期超出计划。</w:t>
            </w:r>
          </w:p>
        </w:tc>
        <w:tc>
          <w:tcPr>
            <w:tcW w:type="dxa" w:w="3685"/>
            <w:vAlign w:val="center"/>
          </w:tcPr>
          <w:p>
            <w:pPr>
              <w:spacing w:after="0" w:line="300" w:lineRule="auto"/>
            </w:pPr>
            <w:r>
              <w:rPr>
                <w:rFonts w:ascii="宋体" w:hAnsi="宋体" w:eastAsia="宋体"/>
                <w:sz w:val="19"/>
              </w:rPr>
              <w:t>投标阶段列明接口前置条件，实施阶段形成接口确认单和联调纪要。</w:t>
            </w:r>
          </w:p>
        </w:tc>
      </w:tr>
      <w:tr>
        <w:tc>
          <w:tcPr>
            <w:tcW w:type="dxa" w:w="1814"/>
            <w:vAlign w:val="center"/>
          </w:tcPr>
          <w:p>
            <w:pPr>
              <w:spacing w:after="0" w:line="300" w:lineRule="auto"/>
              <w:jc w:val="center"/>
            </w:pPr>
            <w:r>
              <w:rPr>
                <w:rFonts w:ascii="宋体" w:hAnsi="宋体" w:eastAsia="宋体"/>
                <w:sz w:val="19"/>
              </w:rPr>
              <w:t>现场施工窗口受限</w:t>
            </w:r>
          </w:p>
        </w:tc>
        <w:tc>
          <w:tcPr>
            <w:tcW w:type="dxa" w:w="3514"/>
            <w:vAlign w:val="center"/>
          </w:tcPr>
          <w:p>
            <w:pPr>
              <w:spacing w:after="0" w:line="300" w:lineRule="auto"/>
            </w:pPr>
            <w:r>
              <w:rPr>
                <w:rFonts w:ascii="宋体" w:hAnsi="宋体" w:eastAsia="宋体"/>
                <w:sz w:val="19"/>
              </w:rPr>
              <w:t>手术部、ICU 等区域不能长时间停用，施工时间受临床安排影响。</w:t>
            </w:r>
          </w:p>
        </w:tc>
        <w:tc>
          <w:tcPr>
            <w:tcW w:type="dxa" w:w="3685"/>
            <w:vAlign w:val="center"/>
          </w:tcPr>
          <w:p>
            <w:pPr>
              <w:spacing w:after="0" w:line="300" w:lineRule="auto"/>
            </w:pPr>
            <w:r>
              <w:rPr>
                <w:rFonts w:ascii="宋体" w:hAnsi="宋体" w:eastAsia="宋体"/>
                <w:sz w:val="19"/>
              </w:rPr>
              <w:t>提前确认施工窗口，采用分房间、分时段施工和夜间施工计划。</w:t>
            </w:r>
          </w:p>
        </w:tc>
      </w:tr>
      <w:tr>
        <w:tc>
          <w:tcPr>
            <w:tcW w:type="dxa" w:w="1814"/>
            <w:vAlign w:val="center"/>
          </w:tcPr>
          <w:p>
            <w:pPr>
              <w:spacing w:after="0" w:line="300" w:lineRule="auto"/>
              <w:jc w:val="center"/>
            </w:pPr>
            <w:r>
              <w:rPr>
                <w:rFonts w:ascii="宋体" w:hAnsi="宋体" w:eastAsia="宋体"/>
                <w:sz w:val="19"/>
              </w:rPr>
              <w:t>网络策略变化</w:t>
            </w:r>
          </w:p>
        </w:tc>
        <w:tc>
          <w:tcPr>
            <w:tcW w:type="dxa" w:w="3514"/>
            <w:vAlign w:val="center"/>
          </w:tcPr>
          <w:p>
            <w:pPr>
              <w:spacing w:after="0" w:line="300" w:lineRule="auto"/>
            </w:pPr>
            <w:r>
              <w:rPr>
                <w:rFonts w:ascii="宋体" w:hAnsi="宋体" w:eastAsia="宋体"/>
                <w:sz w:val="19"/>
              </w:rPr>
              <w:t>安全策略、网段隔离、外网访问或远程运维审批发生变化。</w:t>
            </w:r>
          </w:p>
        </w:tc>
        <w:tc>
          <w:tcPr>
            <w:tcW w:type="dxa" w:w="3685"/>
            <w:vAlign w:val="center"/>
          </w:tcPr>
          <w:p>
            <w:pPr>
              <w:spacing w:after="0" w:line="300" w:lineRule="auto"/>
            </w:pPr>
            <w:r>
              <w:rPr>
                <w:rFonts w:ascii="宋体" w:hAnsi="宋体" w:eastAsia="宋体"/>
                <w:sz w:val="19"/>
              </w:rPr>
              <w:t>由信息科确认网络拓扑和访问控制，保留调整时间。</w:t>
            </w:r>
          </w:p>
        </w:tc>
      </w:tr>
      <w:tr>
        <w:tc>
          <w:tcPr>
            <w:tcW w:type="dxa" w:w="1814"/>
            <w:vAlign w:val="center"/>
          </w:tcPr>
          <w:p>
            <w:pPr>
              <w:spacing w:after="0" w:line="300" w:lineRule="auto"/>
              <w:jc w:val="center"/>
            </w:pPr>
            <w:r>
              <w:rPr>
                <w:rFonts w:ascii="宋体" w:hAnsi="宋体" w:eastAsia="宋体"/>
                <w:sz w:val="19"/>
              </w:rPr>
              <w:t>设备接口差异</w:t>
            </w:r>
          </w:p>
        </w:tc>
        <w:tc>
          <w:tcPr>
            <w:tcW w:type="dxa" w:w="3514"/>
            <w:vAlign w:val="center"/>
          </w:tcPr>
          <w:p>
            <w:pPr>
              <w:spacing w:after="0" w:line="300" w:lineRule="auto"/>
            </w:pPr>
            <w:r>
              <w:rPr>
                <w:rFonts w:ascii="宋体" w:hAnsi="宋体" w:eastAsia="宋体"/>
                <w:sz w:val="19"/>
              </w:rPr>
              <w:t>现有腔镜、监护、PACS 工作站或会议终端接口与清单不一致。</w:t>
            </w:r>
          </w:p>
        </w:tc>
        <w:tc>
          <w:tcPr>
            <w:tcW w:type="dxa" w:w="3685"/>
            <w:vAlign w:val="center"/>
          </w:tcPr>
          <w:p>
            <w:pPr>
              <w:spacing w:after="0" w:line="300" w:lineRule="auto"/>
            </w:pPr>
            <w:r>
              <w:rPr>
                <w:rFonts w:ascii="宋体" w:hAnsi="宋体" w:eastAsia="宋体"/>
                <w:sz w:val="19"/>
              </w:rPr>
              <w:t>现场逐台复核接口，必要时增加转换、采集或适配设备。</w:t>
            </w:r>
          </w:p>
        </w:tc>
      </w:tr>
      <w:tr>
        <w:tc>
          <w:tcPr>
            <w:tcW w:type="dxa" w:w="1814"/>
            <w:vAlign w:val="center"/>
          </w:tcPr>
          <w:p>
            <w:pPr>
              <w:spacing w:after="0" w:line="300" w:lineRule="auto"/>
              <w:jc w:val="center"/>
            </w:pPr>
            <w:r>
              <w:rPr>
                <w:rFonts w:ascii="宋体" w:hAnsi="宋体" w:eastAsia="宋体"/>
                <w:sz w:val="19"/>
              </w:rPr>
              <w:t>资料留存争议</w:t>
            </w:r>
          </w:p>
        </w:tc>
        <w:tc>
          <w:tcPr>
            <w:tcW w:type="dxa" w:w="3514"/>
            <w:vAlign w:val="center"/>
          </w:tcPr>
          <w:p>
            <w:pPr>
              <w:spacing w:after="0" w:line="300" w:lineRule="auto"/>
            </w:pPr>
            <w:r>
              <w:rPr>
                <w:rFonts w:ascii="宋体" w:hAnsi="宋体" w:eastAsia="宋体"/>
                <w:sz w:val="19"/>
              </w:rPr>
              <w:t>视频、日志、探视或会诊资料保存周期、下载权限和删除规则未定。</w:t>
            </w:r>
          </w:p>
        </w:tc>
        <w:tc>
          <w:tcPr>
            <w:tcW w:type="dxa" w:w="3685"/>
            <w:vAlign w:val="center"/>
          </w:tcPr>
          <w:p>
            <w:pPr>
              <w:spacing w:after="0" w:line="300" w:lineRule="auto"/>
            </w:pPr>
            <w:r>
              <w:rPr>
                <w:rFonts w:ascii="宋体" w:hAnsi="宋体" w:eastAsia="宋体"/>
                <w:sz w:val="19"/>
              </w:rPr>
              <w:t>由医院制度确认，技术方案只提供可配置能力。</w:t>
            </w:r>
          </w:p>
        </w:tc>
      </w:tr>
    </w:tbl>
    <w:p>
      <w:pPr>
        <w:spacing w:after="40"/>
      </w:pPr>
    </w:p>
    <w:p>
      <w:pPr>
        <w:pStyle w:val="Heading1"/>
      </w:pPr>
      <w:r>
        <w:t>十二、培训、运维与售后服务</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4394"/>
        <w:gridCol w:w="4394"/>
      </w:tblGrid>
      <w:tr>
        <w:tc>
          <w:tcPr>
            <w:tcW w:type="dxa" w:w="1700"/>
            <w:shd w:fill="EAF2F8"/>
            <w:vAlign w:val="center"/>
          </w:tcPr>
          <w:p>
            <w:pPr>
              <w:spacing w:after="0"/>
              <w:jc w:val="center"/>
            </w:pPr>
            <w:r>
              <w:rPr>
                <w:rFonts w:ascii="宋体" w:hAnsi="宋体" w:eastAsia="黑体"/>
                <w:b/>
                <w:sz w:val="20"/>
              </w:rPr>
              <w:t>项目</w:t>
            </w:r>
          </w:p>
        </w:tc>
        <w:tc>
          <w:tcPr>
            <w:tcW w:type="dxa" w:w="7313"/>
            <w:shd w:fill="EAF2F8"/>
            <w:vAlign w:val="center"/>
          </w:tcPr>
          <w:p>
            <w:pPr>
              <w:spacing w:after="0"/>
              <w:jc w:val="center"/>
            </w:pPr>
            <w:r>
              <w:rPr>
                <w:rFonts w:ascii="宋体" w:hAnsi="宋体" w:eastAsia="黑体"/>
                <w:b/>
                <w:sz w:val="20"/>
              </w:rPr>
              <w:t>服务内容</w:t>
            </w:r>
          </w:p>
        </w:tc>
      </w:tr>
      <w:tr>
        <w:tc>
          <w:tcPr>
            <w:tcW w:type="dxa" w:w="1700"/>
            <w:vAlign w:val="center"/>
          </w:tcPr>
          <w:p>
            <w:pPr>
              <w:spacing w:after="0" w:line="300" w:lineRule="auto"/>
              <w:jc w:val="center"/>
            </w:pPr>
            <w:r>
              <w:rPr>
                <w:rFonts w:ascii="宋体" w:hAnsi="宋体" w:eastAsia="宋体"/>
                <w:sz w:val="19"/>
              </w:rPr>
              <w:t>培训对象</w:t>
            </w:r>
          </w:p>
        </w:tc>
        <w:tc>
          <w:tcPr>
            <w:tcW w:type="dxa" w:w="7313"/>
            <w:vAlign w:val="center"/>
          </w:tcPr>
          <w:p>
            <w:pPr>
              <w:spacing w:after="0" w:line="300" w:lineRule="auto"/>
            </w:pPr>
            <w:r>
              <w:rPr>
                <w:rFonts w:ascii="宋体" w:hAnsi="宋体" w:eastAsia="宋体"/>
                <w:sz w:val="19"/>
              </w:rPr>
              <w:t>医院信息科、医学工程科、手术部或业务科室管理员、临床使用人员、院方指定运维人员。</w:t>
            </w:r>
          </w:p>
        </w:tc>
      </w:tr>
      <w:tr>
        <w:tc>
          <w:tcPr>
            <w:tcW w:type="dxa" w:w="1700"/>
            <w:vAlign w:val="center"/>
          </w:tcPr>
          <w:p>
            <w:pPr>
              <w:spacing w:after="0" w:line="300" w:lineRule="auto"/>
              <w:jc w:val="center"/>
            </w:pPr>
            <w:r>
              <w:rPr>
                <w:rFonts w:ascii="宋体" w:hAnsi="宋体" w:eastAsia="宋体"/>
                <w:sz w:val="19"/>
              </w:rPr>
              <w:t>培训内容</w:t>
            </w:r>
          </w:p>
        </w:tc>
        <w:tc>
          <w:tcPr>
            <w:tcW w:type="dxa" w:w="7313"/>
            <w:vAlign w:val="center"/>
          </w:tcPr>
          <w:p>
            <w:pPr>
              <w:spacing w:after="0" w:line="300" w:lineRule="auto"/>
            </w:pPr>
            <w:r>
              <w:rPr>
                <w:rFonts w:ascii="宋体" w:hAnsi="宋体" w:eastAsia="宋体"/>
                <w:sz w:val="19"/>
              </w:rPr>
              <w:t>系统登录、业务操作、权限管理、异常处理、资料检索、设备维护和常见问题排查。</w:t>
            </w:r>
          </w:p>
        </w:tc>
      </w:tr>
      <w:tr>
        <w:tc>
          <w:tcPr>
            <w:tcW w:type="dxa" w:w="1700"/>
            <w:vAlign w:val="center"/>
          </w:tcPr>
          <w:p>
            <w:pPr>
              <w:spacing w:after="0" w:line="300" w:lineRule="auto"/>
              <w:jc w:val="center"/>
            </w:pPr>
            <w:r>
              <w:rPr>
                <w:rFonts w:ascii="宋体" w:hAnsi="宋体" w:eastAsia="宋体"/>
                <w:sz w:val="19"/>
              </w:rPr>
              <w:t>运维方式</w:t>
            </w:r>
          </w:p>
        </w:tc>
        <w:tc>
          <w:tcPr>
            <w:tcW w:type="dxa" w:w="7313"/>
            <w:vAlign w:val="center"/>
          </w:tcPr>
          <w:p>
            <w:pPr>
              <w:spacing w:after="0" w:line="300" w:lineRule="auto"/>
            </w:pPr>
            <w:r>
              <w:rPr>
                <w:rFonts w:ascii="宋体" w:hAnsi="宋体" w:eastAsia="宋体"/>
                <w:sz w:val="19"/>
              </w:rPr>
              <w:t>提供远程支持、现场支持、问题记录、版本维护和备件协同，具体响应级别以合同约定为准。</w:t>
            </w:r>
          </w:p>
        </w:tc>
      </w:tr>
      <w:tr>
        <w:tc>
          <w:tcPr>
            <w:tcW w:type="dxa" w:w="1700"/>
            <w:vAlign w:val="center"/>
          </w:tcPr>
          <w:p>
            <w:pPr>
              <w:spacing w:after="0" w:line="300" w:lineRule="auto"/>
              <w:jc w:val="center"/>
            </w:pPr>
            <w:r>
              <w:rPr>
                <w:rFonts w:ascii="宋体" w:hAnsi="宋体" w:eastAsia="宋体"/>
                <w:sz w:val="19"/>
              </w:rPr>
              <w:t>资料移交</w:t>
            </w:r>
          </w:p>
        </w:tc>
        <w:tc>
          <w:tcPr>
            <w:tcW w:type="dxa" w:w="7313"/>
            <w:vAlign w:val="center"/>
          </w:tcPr>
          <w:p>
            <w:pPr>
              <w:spacing w:after="0" w:line="300" w:lineRule="auto"/>
            </w:pPr>
            <w:r>
              <w:rPr>
                <w:rFonts w:ascii="宋体" w:hAnsi="宋体" w:eastAsia="宋体"/>
                <w:sz w:val="19"/>
              </w:rPr>
              <w:t>提交系统说明、操作手册、点位清单、设备序列号、账号权限表、网络地址表和验收记录。</w:t>
            </w:r>
          </w:p>
        </w:tc>
      </w:tr>
    </w:tbl>
    <w:p>
      <w:pPr>
        <w:spacing w:after="40"/>
      </w:pPr>
    </w:p>
    <w:p>
      <w:pPr>
        <w:pStyle w:val="Heading2"/>
      </w:pPr>
      <w:r>
        <w:t>（一）售后边界</w:t>
      </w:r>
    </w:p>
    <w:p>
      <w:pPr>
        <w:spacing w:line="324" w:lineRule="auto" w:after="80"/>
        <w:ind w:left="480" w:hanging="360"/>
      </w:pPr>
      <w:r>
        <w:rPr>
          <w:rFonts w:ascii="宋体" w:hAnsi="宋体" w:eastAsia="宋体"/>
          <w:sz w:val="21"/>
        </w:rPr>
        <w:t>1. 质保期、响应时间、备件策略、现场服务次数和远程支持方式以合同约定为准。</w:t>
      </w:r>
    </w:p>
    <w:p>
      <w:pPr>
        <w:spacing w:line="324" w:lineRule="auto" w:after="80"/>
        <w:ind w:left="480" w:hanging="360"/>
      </w:pPr>
      <w:r>
        <w:rPr>
          <w:rFonts w:ascii="宋体" w:hAnsi="宋体" w:eastAsia="宋体"/>
          <w:sz w:val="21"/>
        </w:rPr>
        <w:t>2. 因医院网络、第三方系统接口、第三方设备、外部专线或非授权变更造成的问题，应由相关责任方共同排查。</w:t>
      </w:r>
    </w:p>
    <w:p>
      <w:pPr>
        <w:spacing w:line="324" w:lineRule="auto" w:after="80"/>
        <w:ind w:left="480" w:hanging="360"/>
      </w:pPr>
      <w:r>
        <w:rPr>
          <w:rFonts w:ascii="宋体" w:hAnsi="宋体" w:eastAsia="宋体"/>
          <w:sz w:val="21"/>
        </w:rPr>
        <w:t>3. 新增功能、扩容、接口新增、流程重构和跨系统深度集成不应默认包含在原项目质保范围内。</w:t>
      </w:r>
    </w:p>
    <w:p>
      <w:pPr>
        <w:pStyle w:val="Heading2"/>
      </w:pPr>
      <w:r>
        <w:t>（二）运维巡检建议</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700"/>
            <w:shd w:fill="EAF2F8"/>
            <w:vAlign w:val="center"/>
          </w:tcPr>
          <w:p>
            <w:pPr>
              <w:spacing w:after="0"/>
              <w:jc w:val="center"/>
            </w:pPr>
            <w:r>
              <w:rPr>
                <w:rFonts w:ascii="宋体" w:hAnsi="宋体" w:eastAsia="黑体"/>
                <w:b/>
                <w:sz w:val="20"/>
              </w:rPr>
              <w:t>巡检项</w:t>
            </w:r>
          </w:p>
        </w:tc>
        <w:tc>
          <w:tcPr>
            <w:tcW w:type="dxa" w:w="4648"/>
            <w:shd w:fill="EAF2F8"/>
            <w:vAlign w:val="center"/>
          </w:tcPr>
          <w:p>
            <w:pPr>
              <w:spacing w:after="0"/>
              <w:jc w:val="center"/>
            </w:pPr>
            <w:r>
              <w:rPr>
                <w:rFonts w:ascii="宋体" w:hAnsi="宋体" w:eastAsia="黑体"/>
                <w:b/>
                <w:sz w:val="20"/>
              </w:rPr>
              <w:t>巡检内容</w:t>
            </w:r>
          </w:p>
        </w:tc>
        <w:tc>
          <w:tcPr>
            <w:tcW w:type="dxa" w:w="2664"/>
            <w:shd w:fill="EAF2F8"/>
            <w:vAlign w:val="center"/>
          </w:tcPr>
          <w:p>
            <w:pPr>
              <w:spacing w:after="0"/>
              <w:jc w:val="center"/>
            </w:pPr>
            <w:r>
              <w:rPr>
                <w:rFonts w:ascii="宋体" w:hAnsi="宋体" w:eastAsia="黑体"/>
                <w:b/>
                <w:sz w:val="20"/>
              </w:rPr>
              <w:t>建议频率</w:t>
            </w:r>
          </w:p>
        </w:tc>
      </w:tr>
      <w:tr>
        <w:tc>
          <w:tcPr>
            <w:tcW w:type="dxa" w:w="1700"/>
            <w:vAlign w:val="center"/>
          </w:tcPr>
          <w:p>
            <w:pPr>
              <w:spacing w:after="0" w:line="300" w:lineRule="auto"/>
              <w:jc w:val="center"/>
            </w:pPr>
            <w:r>
              <w:rPr>
                <w:rFonts w:ascii="宋体" w:hAnsi="宋体" w:eastAsia="宋体"/>
                <w:sz w:val="19"/>
              </w:rPr>
              <w:t>设备在线状态</w:t>
            </w:r>
          </w:p>
        </w:tc>
        <w:tc>
          <w:tcPr>
            <w:tcW w:type="dxa" w:w="4648"/>
            <w:vAlign w:val="center"/>
          </w:tcPr>
          <w:p>
            <w:pPr>
              <w:spacing w:after="0" w:line="300" w:lineRule="auto"/>
            </w:pPr>
            <w:r>
              <w:rPr>
                <w:rFonts w:ascii="宋体" w:hAnsi="宋体" w:eastAsia="宋体"/>
                <w:sz w:val="19"/>
              </w:rPr>
              <w:t>服务器、终端、摄像机、采集节点、柜体、门禁和显示设备在线情况。</w:t>
            </w:r>
          </w:p>
        </w:tc>
        <w:tc>
          <w:tcPr>
            <w:tcW w:type="dxa" w:w="2664"/>
            <w:vAlign w:val="center"/>
          </w:tcPr>
          <w:p>
            <w:pPr>
              <w:spacing w:after="0" w:line="300" w:lineRule="auto"/>
            </w:pPr>
            <w:r>
              <w:rPr>
                <w:rFonts w:ascii="宋体" w:hAnsi="宋体" w:eastAsia="宋体"/>
                <w:sz w:val="19"/>
              </w:rPr>
              <w:t>按医院运维制度，建议月度或季度。</w:t>
            </w:r>
          </w:p>
        </w:tc>
      </w:tr>
      <w:tr>
        <w:tc>
          <w:tcPr>
            <w:tcW w:type="dxa" w:w="1700"/>
            <w:vAlign w:val="center"/>
          </w:tcPr>
          <w:p>
            <w:pPr>
              <w:spacing w:after="0" w:line="300" w:lineRule="auto"/>
              <w:jc w:val="center"/>
            </w:pPr>
            <w:r>
              <w:rPr>
                <w:rFonts w:ascii="宋体" w:hAnsi="宋体" w:eastAsia="宋体"/>
                <w:sz w:val="19"/>
              </w:rPr>
              <w:t>存储容量</w:t>
            </w:r>
          </w:p>
        </w:tc>
        <w:tc>
          <w:tcPr>
            <w:tcW w:type="dxa" w:w="4648"/>
            <w:vAlign w:val="center"/>
          </w:tcPr>
          <w:p>
            <w:pPr>
              <w:spacing w:after="0" w:line="300" w:lineRule="auto"/>
            </w:pPr>
            <w:r>
              <w:rPr>
                <w:rFonts w:ascii="宋体" w:hAnsi="宋体" w:eastAsia="宋体"/>
                <w:sz w:val="19"/>
              </w:rPr>
              <w:t>录像、图片、会议、会诊、探视或日志存储容量及增长趋势。</w:t>
            </w:r>
          </w:p>
        </w:tc>
        <w:tc>
          <w:tcPr>
            <w:tcW w:type="dxa" w:w="2664"/>
            <w:vAlign w:val="center"/>
          </w:tcPr>
          <w:p>
            <w:pPr>
              <w:spacing w:after="0" w:line="300" w:lineRule="auto"/>
            </w:pPr>
            <w:r>
              <w:rPr>
                <w:rFonts w:ascii="宋体" w:hAnsi="宋体" w:eastAsia="宋体"/>
                <w:sz w:val="19"/>
              </w:rPr>
              <w:t>建议月度检查，容量不足前预警。</w:t>
            </w:r>
          </w:p>
        </w:tc>
      </w:tr>
      <w:tr>
        <w:tc>
          <w:tcPr>
            <w:tcW w:type="dxa" w:w="1700"/>
            <w:vAlign w:val="center"/>
          </w:tcPr>
          <w:p>
            <w:pPr>
              <w:spacing w:after="0" w:line="300" w:lineRule="auto"/>
              <w:jc w:val="center"/>
            </w:pPr>
            <w:r>
              <w:rPr>
                <w:rFonts w:ascii="宋体" w:hAnsi="宋体" w:eastAsia="宋体"/>
                <w:sz w:val="19"/>
              </w:rPr>
              <w:t>账号权限</w:t>
            </w:r>
          </w:p>
        </w:tc>
        <w:tc>
          <w:tcPr>
            <w:tcW w:type="dxa" w:w="4648"/>
            <w:vAlign w:val="center"/>
          </w:tcPr>
          <w:p>
            <w:pPr>
              <w:spacing w:after="0" w:line="300" w:lineRule="auto"/>
            </w:pPr>
            <w:r>
              <w:rPr>
                <w:rFonts w:ascii="宋体" w:hAnsi="宋体" w:eastAsia="宋体"/>
                <w:sz w:val="19"/>
              </w:rPr>
              <w:t>离职、转岗、临时人员、外部专家和运维账号权限是否及时回收。</w:t>
            </w:r>
          </w:p>
        </w:tc>
        <w:tc>
          <w:tcPr>
            <w:tcW w:type="dxa" w:w="2664"/>
            <w:vAlign w:val="center"/>
          </w:tcPr>
          <w:p>
            <w:pPr>
              <w:spacing w:after="0" w:line="300" w:lineRule="auto"/>
            </w:pPr>
            <w:r>
              <w:rPr>
                <w:rFonts w:ascii="宋体" w:hAnsi="宋体" w:eastAsia="宋体"/>
                <w:sz w:val="19"/>
              </w:rPr>
              <w:t>建议季度检查或按人员变更触发。</w:t>
            </w:r>
          </w:p>
        </w:tc>
      </w:tr>
      <w:tr>
        <w:tc>
          <w:tcPr>
            <w:tcW w:type="dxa" w:w="1700"/>
            <w:vAlign w:val="center"/>
          </w:tcPr>
          <w:p>
            <w:pPr>
              <w:spacing w:after="0" w:line="300" w:lineRule="auto"/>
              <w:jc w:val="center"/>
            </w:pPr>
            <w:r>
              <w:rPr>
                <w:rFonts w:ascii="宋体" w:hAnsi="宋体" w:eastAsia="宋体"/>
                <w:sz w:val="19"/>
              </w:rPr>
              <w:t>日志审计</w:t>
            </w:r>
          </w:p>
        </w:tc>
        <w:tc>
          <w:tcPr>
            <w:tcW w:type="dxa" w:w="4648"/>
            <w:vAlign w:val="center"/>
          </w:tcPr>
          <w:p>
            <w:pPr>
              <w:spacing w:after="0" w:line="300" w:lineRule="auto"/>
            </w:pPr>
            <w:r>
              <w:rPr>
                <w:rFonts w:ascii="宋体" w:hAnsi="宋体" w:eastAsia="宋体"/>
                <w:sz w:val="19"/>
              </w:rPr>
              <w:t>异常登录、远程访问、资料下载、接口异常和配置变更记录。</w:t>
            </w:r>
          </w:p>
        </w:tc>
        <w:tc>
          <w:tcPr>
            <w:tcW w:type="dxa" w:w="2664"/>
            <w:vAlign w:val="center"/>
          </w:tcPr>
          <w:p>
            <w:pPr>
              <w:spacing w:after="0" w:line="300" w:lineRule="auto"/>
            </w:pPr>
            <w:r>
              <w:rPr>
                <w:rFonts w:ascii="宋体" w:hAnsi="宋体" w:eastAsia="宋体"/>
                <w:sz w:val="19"/>
              </w:rPr>
              <w:t>建议月度抽查，重大事件即时核查。</w:t>
            </w:r>
          </w:p>
        </w:tc>
      </w:tr>
      <w:tr>
        <w:tc>
          <w:tcPr>
            <w:tcW w:type="dxa" w:w="1700"/>
            <w:vAlign w:val="center"/>
          </w:tcPr>
          <w:p>
            <w:pPr>
              <w:spacing w:after="0" w:line="300" w:lineRule="auto"/>
              <w:jc w:val="center"/>
            </w:pPr>
            <w:r>
              <w:rPr>
                <w:rFonts w:ascii="宋体" w:hAnsi="宋体" w:eastAsia="宋体"/>
                <w:sz w:val="19"/>
              </w:rPr>
              <w:t>备份恢复</w:t>
            </w:r>
          </w:p>
        </w:tc>
        <w:tc>
          <w:tcPr>
            <w:tcW w:type="dxa" w:w="4648"/>
            <w:vAlign w:val="center"/>
          </w:tcPr>
          <w:p>
            <w:pPr>
              <w:spacing w:after="0" w:line="300" w:lineRule="auto"/>
            </w:pPr>
            <w:r>
              <w:rPr>
                <w:rFonts w:ascii="宋体" w:hAnsi="宋体" w:eastAsia="宋体"/>
                <w:sz w:val="19"/>
              </w:rPr>
              <w:t>配置备份、数据库备份、重要资料恢复和应急预案可用性。</w:t>
            </w:r>
          </w:p>
        </w:tc>
        <w:tc>
          <w:tcPr>
            <w:tcW w:type="dxa" w:w="2664"/>
            <w:vAlign w:val="center"/>
          </w:tcPr>
          <w:p>
            <w:pPr>
              <w:spacing w:after="0" w:line="300" w:lineRule="auto"/>
            </w:pPr>
            <w:r>
              <w:rPr>
                <w:rFonts w:ascii="宋体" w:hAnsi="宋体" w:eastAsia="宋体"/>
                <w:sz w:val="19"/>
              </w:rPr>
              <w:t>建议季度演练或按医院要求。</w:t>
            </w:r>
          </w:p>
        </w:tc>
      </w:tr>
    </w:tbl>
    <w:p>
      <w:pPr>
        <w:spacing w:after="40"/>
      </w:pPr>
    </w:p>
    <w:p>
      <w:pPr>
        <w:pStyle w:val="Heading1"/>
      </w:pPr>
      <w:r>
        <w:t>十三、技术响应表</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2929"/>
        <w:gridCol w:w="2929"/>
        <w:gridCol w:w="2929"/>
      </w:tblGrid>
      <w:tr>
        <w:tc>
          <w:tcPr>
            <w:tcW w:type="dxa" w:w="1814"/>
            <w:shd w:fill="EAF2F8"/>
            <w:vAlign w:val="center"/>
          </w:tcPr>
          <w:p>
            <w:pPr>
              <w:spacing w:after="0"/>
              <w:jc w:val="center"/>
            </w:pPr>
            <w:r>
              <w:rPr>
                <w:rFonts w:ascii="宋体" w:hAnsi="宋体" w:eastAsia="黑体"/>
                <w:b/>
                <w:sz w:val="20"/>
              </w:rPr>
              <w:t>响应项</w:t>
            </w:r>
          </w:p>
        </w:tc>
        <w:tc>
          <w:tcPr>
            <w:tcW w:type="dxa" w:w="1474"/>
            <w:shd w:fill="EAF2F8"/>
            <w:vAlign w:val="center"/>
          </w:tcPr>
          <w:p>
            <w:pPr>
              <w:spacing w:after="0"/>
              <w:jc w:val="center"/>
            </w:pPr>
            <w:r>
              <w:rPr>
                <w:rFonts w:ascii="宋体" w:hAnsi="宋体" w:eastAsia="黑体"/>
                <w:b/>
                <w:sz w:val="20"/>
              </w:rPr>
              <w:t>响应情况</w:t>
            </w:r>
          </w:p>
        </w:tc>
        <w:tc>
          <w:tcPr>
            <w:tcW w:type="dxa" w:w="5725"/>
            <w:shd w:fill="EAF2F8"/>
            <w:vAlign w:val="center"/>
          </w:tcPr>
          <w:p>
            <w:pPr>
              <w:spacing w:after="0"/>
              <w:jc w:val="center"/>
            </w:pPr>
            <w:r>
              <w:rPr>
                <w:rFonts w:ascii="宋体" w:hAnsi="宋体" w:eastAsia="黑体"/>
                <w:b/>
                <w:sz w:val="20"/>
              </w:rPr>
              <w:t>说明</w:t>
            </w:r>
          </w:p>
        </w:tc>
      </w:tr>
      <w:tr>
        <w:tc>
          <w:tcPr>
            <w:tcW w:type="dxa" w:w="1814"/>
            <w:vAlign w:val="center"/>
          </w:tcPr>
          <w:p>
            <w:pPr>
              <w:spacing w:after="0" w:line="300" w:lineRule="auto"/>
              <w:jc w:val="center"/>
            </w:pPr>
            <w:r>
              <w:rPr>
                <w:rFonts w:ascii="宋体" w:hAnsi="宋体" w:eastAsia="宋体"/>
                <w:sz w:val="19"/>
              </w:rPr>
              <w:t>总体架构</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按手术示教系统业务流程分层设计，支持现场终端、平台服务、权限日志和接口边界管理。</w:t>
            </w:r>
          </w:p>
        </w:tc>
      </w:tr>
      <w:tr>
        <w:tc>
          <w:tcPr>
            <w:tcW w:type="dxa" w:w="1814"/>
            <w:vAlign w:val="center"/>
          </w:tcPr>
          <w:p>
            <w:pPr>
              <w:spacing w:after="0" w:line="300" w:lineRule="auto"/>
              <w:jc w:val="center"/>
            </w:pPr>
            <w:r>
              <w:rPr>
                <w:rFonts w:ascii="宋体" w:hAnsi="宋体" w:eastAsia="宋体"/>
                <w:sz w:val="19"/>
              </w:rPr>
              <w:t>核心功能</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覆盖本方案功能模块，具体启用范围按招标文件和项目配置确认。</w:t>
            </w:r>
          </w:p>
        </w:tc>
      </w:tr>
      <w:tr>
        <w:tc>
          <w:tcPr>
            <w:tcW w:type="dxa" w:w="1814"/>
            <w:vAlign w:val="center"/>
          </w:tcPr>
          <w:p>
            <w:pPr>
              <w:spacing w:after="0" w:line="300" w:lineRule="auto"/>
              <w:jc w:val="center"/>
            </w:pPr>
            <w:r>
              <w:rPr>
                <w:rFonts w:ascii="宋体" w:hAnsi="宋体" w:eastAsia="宋体"/>
                <w:sz w:val="19"/>
              </w:rPr>
              <w:t>权限管理</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支持角色、科室、账号、业务范围和操作日志管理。</w:t>
            </w:r>
          </w:p>
        </w:tc>
      </w:tr>
      <w:tr>
        <w:tc>
          <w:tcPr>
            <w:tcW w:type="dxa" w:w="1814"/>
            <w:vAlign w:val="center"/>
          </w:tcPr>
          <w:p>
            <w:pPr>
              <w:spacing w:after="0" w:line="300" w:lineRule="auto"/>
              <w:jc w:val="center"/>
            </w:pPr>
            <w:r>
              <w:rPr>
                <w:rFonts w:ascii="宋体" w:hAnsi="宋体" w:eastAsia="宋体"/>
                <w:sz w:val="19"/>
              </w:rPr>
              <w:t>资料归档</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支持必要业务记录、日志、音视频或文件资料归档，保存周期按医院制度配置。</w:t>
            </w:r>
          </w:p>
        </w:tc>
      </w:tr>
      <w:tr>
        <w:tc>
          <w:tcPr>
            <w:tcW w:type="dxa" w:w="1814"/>
            <w:vAlign w:val="center"/>
          </w:tcPr>
          <w:p>
            <w:pPr>
              <w:spacing w:after="0" w:line="300" w:lineRule="auto"/>
              <w:jc w:val="center"/>
            </w:pPr>
            <w:r>
              <w:rPr>
                <w:rFonts w:ascii="宋体" w:hAnsi="宋体" w:eastAsia="宋体"/>
                <w:sz w:val="19"/>
              </w:rPr>
              <w:t>接口对接</w:t>
            </w:r>
          </w:p>
        </w:tc>
        <w:tc>
          <w:tcPr>
            <w:tcW w:type="dxa" w:w="1474"/>
            <w:vAlign w:val="center"/>
          </w:tcPr>
          <w:p>
            <w:pPr>
              <w:spacing w:after="0" w:line="300" w:lineRule="auto"/>
            </w:pPr>
            <w:r>
              <w:rPr>
                <w:rFonts w:ascii="宋体" w:hAnsi="宋体" w:eastAsia="宋体"/>
                <w:sz w:val="19"/>
              </w:rPr>
              <w:t>按需支持</w:t>
            </w:r>
          </w:p>
        </w:tc>
        <w:tc>
          <w:tcPr>
            <w:tcW w:type="dxa" w:w="5725"/>
            <w:vAlign w:val="center"/>
          </w:tcPr>
          <w:p>
            <w:pPr>
              <w:spacing w:after="0" w:line="300" w:lineRule="auto"/>
            </w:pPr>
            <w:r>
              <w:rPr>
                <w:rFonts w:ascii="宋体" w:hAnsi="宋体" w:eastAsia="宋体"/>
                <w:sz w:val="19"/>
              </w:rPr>
              <w:t>对接内容以医院信息科、原系统厂商和接口清单确认为准。</w:t>
            </w:r>
          </w:p>
        </w:tc>
      </w:tr>
      <w:tr>
        <w:tc>
          <w:tcPr>
            <w:tcW w:type="dxa" w:w="1814"/>
            <w:vAlign w:val="center"/>
          </w:tcPr>
          <w:p>
            <w:pPr>
              <w:spacing w:after="0" w:line="300" w:lineRule="auto"/>
              <w:jc w:val="center"/>
            </w:pPr>
            <w:r>
              <w:rPr>
                <w:rFonts w:ascii="宋体" w:hAnsi="宋体" w:eastAsia="宋体"/>
                <w:sz w:val="19"/>
              </w:rPr>
              <w:t>培训服务</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提供管理员、使用人员和运维人员培训。</w:t>
            </w:r>
          </w:p>
        </w:tc>
      </w:tr>
      <w:tr>
        <w:tc>
          <w:tcPr>
            <w:tcW w:type="dxa" w:w="1814"/>
            <w:vAlign w:val="center"/>
          </w:tcPr>
          <w:p>
            <w:pPr>
              <w:spacing w:after="0" w:line="300" w:lineRule="auto"/>
              <w:jc w:val="center"/>
            </w:pPr>
            <w:r>
              <w:rPr>
                <w:rFonts w:ascii="宋体" w:hAnsi="宋体" w:eastAsia="宋体"/>
                <w:sz w:val="19"/>
              </w:rPr>
              <w:t>验收资料</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提供设备清单、配置资料、测试记录、培训记录和验收资料。</w:t>
            </w:r>
          </w:p>
        </w:tc>
      </w:tr>
      <w:tr>
        <w:tc>
          <w:tcPr>
            <w:tcW w:type="dxa" w:w="1814"/>
            <w:vAlign w:val="center"/>
          </w:tcPr>
          <w:p>
            <w:pPr>
              <w:spacing w:after="0" w:line="300" w:lineRule="auto"/>
              <w:jc w:val="center"/>
            </w:pPr>
            <w:r>
              <w:rPr>
                <w:rFonts w:ascii="宋体" w:hAnsi="宋体" w:eastAsia="宋体"/>
                <w:sz w:val="19"/>
              </w:rPr>
              <w:t>售后服务</w:t>
            </w:r>
          </w:p>
        </w:tc>
        <w:tc>
          <w:tcPr>
            <w:tcW w:type="dxa" w:w="1474"/>
            <w:vAlign w:val="center"/>
          </w:tcPr>
          <w:p>
            <w:pPr>
              <w:spacing w:after="0" w:line="300" w:lineRule="auto"/>
            </w:pPr>
            <w:r>
              <w:rPr>
                <w:rFonts w:ascii="宋体" w:hAnsi="宋体" w:eastAsia="宋体"/>
                <w:sz w:val="19"/>
              </w:rPr>
              <w:t>支持</w:t>
            </w:r>
          </w:p>
        </w:tc>
        <w:tc>
          <w:tcPr>
            <w:tcW w:type="dxa" w:w="5725"/>
            <w:vAlign w:val="center"/>
          </w:tcPr>
          <w:p>
            <w:pPr>
              <w:spacing w:after="0" w:line="300" w:lineRule="auto"/>
            </w:pPr>
            <w:r>
              <w:rPr>
                <w:rFonts w:ascii="宋体" w:hAnsi="宋体" w:eastAsia="宋体"/>
                <w:sz w:val="19"/>
              </w:rPr>
              <w:t>提供远程和现场支持，响应级别以合同约定为准。</w:t>
            </w:r>
          </w:p>
        </w:tc>
      </w:tr>
    </w:tbl>
    <w:p>
      <w:pPr>
        <w:spacing w:after="40"/>
      </w:pPr>
    </w:p>
    <w:p>
      <w:pPr>
        <w:pStyle w:val="Heading2"/>
      </w:pPr>
      <w:r>
        <w:t>（一）投标响应编写提示</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4394"/>
        <w:gridCol w:w="4394"/>
      </w:tblGrid>
      <w:tr>
        <w:tc>
          <w:tcPr>
            <w:tcW w:type="dxa" w:w="2267"/>
            <w:shd w:fill="EAF2F8"/>
            <w:vAlign w:val="center"/>
          </w:tcPr>
          <w:p>
            <w:pPr>
              <w:spacing w:after="0"/>
              <w:jc w:val="center"/>
            </w:pPr>
            <w:r>
              <w:rPr>
                <w:rFonts w:ascii="宋体" w:hAnsi="宋体" w:eastAsia="黑体"/>
                <w:b/>
                <w:sz w:val="20"/>
              </w:rPr>
              <w:t>响应内容</w:t>
            </w:r>
          </w:p>
        </w:tc>
        <w:tc>
          <w:tcPr>
            <w:tcW w:type="dxa" w:w="6746"/>
            <w:shd w:fill="EAF2F8"/>
            <w:vAlign w:val="center"/>
          </w:tcPr>
          <w:p>
            <w:pPr>
              <w:spacing w:after="0"/>
              <w:jc w:val="center"/>
            </w:pPr>
            <w:r>
              <w:rPr>
                <w:rFonts w:ascii="宋体" w:hAnsi="宋体" w:eastAsia="黑体"/>
                <w:b/>
                <w:sz w:val="20"/>
              </w:rPr>
              <w:t>编写要求</w:t>
            </w:r>
          </w:p>
        </w:tc>
      </w:tr>
      <w:tr>
        <w:tc>
          <w:tcPr>
            <w:tcW w:type="dxa" w:w="2267"/>
            <w:vAlign w:val="center"/>
          </w:tcPr>
          <w:p>
            <w:pPr>
              <w:spacing w:after="0" w:line="300" w:lineRule="auto"/>
              <w:jc w:val="center"/>
            </w:pPr>
            <w:r>
              <w:rPr>
                <w:rFonts w:ascii="宋体" w:hAnsi="宋体" w:eastAsia="宋体"/>
                <w:sz w:val="19"/>
              </w:rPr>
              <w:t>技术参数响应</w:t>
            </w:r>
          </w:p>
        </w:tc>
        <w:tc>
          <w:tcPr>
            <w:tcW w:type="dxa" w:w="6746"/>
            <w:vAlign w:val="center"/>
          </w:tcPr>
          <w:p>
            <w:pPr>
              <w:spacing w:after="0" w:line="300" w:lineRule="auto"/>
            </w:pPr>
            <w:r>
              <w:rPr>
                <w:rFonts w:ascii="宋体" w:hAnsi="宋体" w:eastAsia="宋体"/>
                <w:sz w:val="19"/>
              </w:rPr>
              <w:t>逐条对照招标文件技术参数，不用泛化语句替代星号项、实质性条款或废标条款。</w:t>
            </w:r>
          </w:p>
        </w:tc>
      </w:tr>
      <w:tr>
        <w:tc>
          <w:tcPr>
            <w:tcW w:type="dxa" w:w="2267"/>
            <w:vAlign w:val="center"/>
          </w:tcPr>
          <w:p>
            <w:pPr>
              <w:spacing w:after="0" w:line="300" w:lineRule="auto"/>
              <w:jc w:val="center"/>
            </w:pPr>
            <w:r>
              <w:rPr>
                <w:rFonts w:ascii="宋体" w:hAnsi="宋体" w:eastAsia="宋体"/>
                <w:sz w:val="19"/>
              </w:rPr>
              <w:t>建设范围响应</w:t>
            </w:r>
          </w:p>
        </w:tc>
        <w:tc>
          <w:tcPr>
            <w:tcW w:type="dxa" w:w="6746"/>
            <w:vAlign w:val="center"/>
          </w:tcPr>
          <w:p>
            <w:pPr>
              <w:spacing w:after="0" w:line="300" w:lineRule="auto"/>
            </w:pPr>
            <w:r>
              <w:rPr>
                <w:rFonts w:ascii="宋体" w:hAnsi="宋体" w:eastAsia="宋体"/>
                <w:sz w:val="19"/>
              </w:rPr>
              <w:t>明确本次交付的房间、终端、服务器、软件模块、接口和服务内容。</w:t>
            </w:r>
          </w:p>
        </w:tc>
      </w:tr>
      <w:tr>
        <w:tc>
          <w:tcPr>
            <w:tcW w:type="dxa" w:w="2267"/>
            <w:vAlign w:val="center"/>
          </w:tcPr>
          <w:p>
            <w:pPr>
              <w:spacing w:after="0" w:line="300" w:lineRule="auto"/>
              <w:jc w:val="center"/>
            </w:pPr>
            <w:r>
              <w:rPr>
                <w:rFonts w:ascii="宋体" w:hAnsi="宋体" w:eastAsia="宋体"/>
                <w:sz w:val="19"/>
              </w:rPr>
              <w:t>接口响应</w:t>
            </w:r>
          </w:p>
        </w:tc>
        <w:tc>
          <w:tcPr>
            <w:tcW w:type="dxa" w:w="6746"/>
            <w:vAlign w:val="center"/>
          </w:tcPr>
          <w:p>
            <w:pPr>
              <w:spacing w:after="0" w:line="300" w:lineRule="auto"/>
            </w:pPr>
            <w:r>
              <w:rPr>
                <w:rFonts w:ascii="宋体" w:hAnsi="宋体" w:eastAsia="宋体"/>
                <w:sz w:val="19"/>
              </w:rPr>
              <w:t>写清对接对象、字段范围、原厂配合、联调方式和不属于默认交付的内容。</w:t>
            </w:r>
          </w:p>
        </w:tc>
      </w:tr>
      <w:tr>
        <w:tc>
          <w:tcPr>
            <w:tcW w:type="dxa" w:w="2267"/>
            <w:vAlign w:val="center"/>
          </w:tcPr>
          <w:p>
            <w:pPr>
              <w:spacing w:after="0" w:line="300" w:lineRule="auto"/>
              <w:jc w:val="center"/>
            </w:pPr>
            <w:r>
              <w:rPr>
                <w:rFonts w:ascii="宋体" w:hAnsi="宋体" w:eastAsia="宋体"/>
                <w:sz w:val="19"/>
              </w:rPr>
              <w:t>实施响应</w:t>
            </w:r>
          </w:p>
        </w:tc>
        <w:tc>
          <w:tcPr>
            <w:tcW w:type="dxa" w:w="6746"/>
            <w:vAlign w:val="center"/>
          </w:tcPr>
          <w:p>
            <w:pPr>
              <w:spacing w:after="0" w:line="300" w:lineRule="auto"/>
            </w:pPr>
            <w:r>
              <w:rPr>
                <w:rFonts w:ascii="宋体" w:hAnsi="宋体" w:eastAsia="宋体"/>
                <w:sz w:val="19"/>
              </w:rPr>
              <w:t>提供项目组织、施工窗口、进度计划、培训计划和验收资料清单。</w:t>
            </w:r>
          </w:p>
        </w:tc>
      </w:tr>
      <w:tr>
        <w:tc>
          <w:tcPr>
            <w:tcW w:type="dxa" w:w="2267"/>
            <w:vAlign w:val="center"/>
          </w:tcPr>
          <w:p>
            <w:pPr>
              <w:spacing w:after="0" w:line="300" w:lineRule="auto"/>
              <w:jc w:val="center"/>
            </w:pPr>
            <w:r>
              <w:rPr>
                <w:rFonts w:ascii="宋体" w:hAnsi="宋体" w:eastAsia="宋体"/>
                <w:sz w:val="19"/>
              </w:rPr>
              <w:t>安全响应</w:t>
            </w:r>
          </w:p>
        </w:tc>
        <w:tc>
          <w:tcPr>
            <w:tcW w:type="dxa" w:w="6746"/>
            <w:vAlign w:val="center"/>
          </w:tcPr>
          <w:p>
            <w:pPr>
              <w:spacing w:after="0" w:line="300" w:lineRule="auto"/>
            </w:pPr>
            <w:r>
              <w:rPr>
                <w:rFonts w:ascii="宋体" w:hAnsi="宋体" w:eastAsia="宋体"/>
                <w:sz w:val="19"/>
              </w:rPr>
              <w:t>说明账号、权限、日志、数据留存、远程访问和隐私保护措施。</w:t>
            </w:r>
          </w:p>
        </w:tc>
      </w:tr>
      <w:tr>
        <w:tc>
          <w:tcPr>
            <w:tcW w:type="dxa" w:w="2267"/>
            <w:vAlign w:val="center"/>
          </w:tcPr>
          <w:p>
            <w:pPr>
              <w:spacing w:after="0" w:line="300" w:lineRule="auto"/>
              <w:jc w:val="center"/>
            </w:pPr>
            <w:r>
              <w:rPr>
                <w:rFonts w:ascii="宋体" w:hAnsi="宋体" w:eastAsia="宋体"/>
                <w:sz w:val="19"/>
              </w:rPr>
              <w:t>偏离说明</w:t>
            </w:r>
          </w:p>
        </w:tc>
        <w:tc>
          <w:tcPr>
            <w:tcW w:type="dxa" w:w="6746"/>
            <w:vAlign w:val="center"/>
          </w:tcPr>
          <w:p>
            <w:pPr>
              <w:spacing w:after="0" w:line="300" w:lineRule="auto"/>
            </w:pPr>
            <w:r>
              <w:rPr>
                <w:rFonts w:ascii="宋体" w:hAnsi="宋体" w:eastAsia="宋体"/>
                <w:sz w:val="19"/>
              </w:rPr>
              <w:t>不能满足或需要条件满足的条款应如实列明，避免在投标文件中形成无法履约承诺。</w:t>
            </w:r>
          </w:p>
        </w:tc>
      </w:tr>
    </w:tbl>
    <w:p>
      <w:pPr>
        <w:spacing w:after="40"/>
      </w:pPr>
    </w:p>
    <w:p>
      <w:pPr>
        <w:pStyle w:val="Heading2"/>
      </w:pPr>
      <w:r>
        <w:t>（二）技术偏离与条件说明</w:t>
      </w:r>
    </w:p>
    <w:p>
      <w:pPr>
        <w:spacing w:line="324" w:lineRule="auto" w:after="80"/>
        <w:ind w:left="480" w:hanging="360"/>
      </w:pPr>
      <w:r>
        <w:rPr>
          <w:rFonts w:ascii="宋体" w:hAnsi="宋体" w:eastAsia="宋体"/>
          <w:sz w:val="21"/>
        </w:rPr>
        <w:t>1. 如招标文件要求的第三方接口、设备控制协议、外网接入、历史数据迁移、AI 识别或特殊统计报表未具备明确条件，应在技术偏离表或澄清文件中说明。</w:t>
      </w:r>
    </w:p>
    <w:p>
      <w:pPr>
        <w:spacing w:line="324" w:lineRule="auto" w:after="80"/>
        <w:ind w:left="480" w:hanging="360"/>
      </w:pPr>
      <w:r>
        <w:rPr>
          <w:rFonts w:ascii="宋体" w:hAnsi="宋体" w:eastAsia="宋体"/>
          <w:sz w:val="21"/>
        </w:rPr>
        <w:t>2. 如医院要求接入 HIS、PACS、EMR、手麻、门禁、统一认证等系统，应明确由医院协调原系统厂商提供接口文档、测试账号、联调环境和验收配合。</w:t>
      </w:r>
    </w:p>
    <w:p>
      <w:pPr>
        <w:spacing w:line="324" w:lineRule="auto" w:after="80"/>
        <w:ind w:left="480" w:hanging="360"/>
      </w:pPr>
      <w:r>
        <w:rPr>
          <w:rFonts w:ascii="宋体" w:hAnsi="宋体" w:eastAsia="宋体"/>
          <w:sz w:val="21"/>
        </w:rPr>
        <w:t>3. 如现场存在净化施工、机柜空间不足、供电不稳定、网络未到位、旧设备接口不明等问题，应纳入项目风险清单，不宜在投标文件中默认视为已满足。</w:t>
      </w:r>
    </w:p>
    <w:p>
      <w:pPr>
        <w:spacing w:line="324" w:lineRule="auto" w:after="80"/>
        <w:ind w:left="480" w:hanging="360"/>
      </w:pPr>
      <w:r>
        <w:rPr>
          <w:rFonts w:ascii="宋体" w:hAnsi="宋体" w:eastAsia="宋体"/>
          <w:sz w:val="21"/>
        </w:rPr>
        <w:t>4. 如投标文件需要承诺响应时间、质保期、备件、培训次数和现场服务，应与商务报价和合同条款保持一致。</w:t>
      </w:r>
    </w:p>
    <w:p>
      <w:pPr>
        <w:pStyle w:val="Heading1"/>
      </w:pPr>
      <w:r>
        <w:t>十四、首视信息与投标资料占位</w:t>
      </w:r>
    </w:p>
    <w:p>
      <w:pPr>
        <w:pStyle w:val="Heading2"/>
      </w:pPr>
      <w:r>
        <w:t>（一）首视公司信息</w:t>
      </w:r>
    </w:p>
    <w:p>
      <w:pPr>
        <w:spacing w:line="360" w:lineRule="auto" w:after="120"/>
        <w:ind w:firstLine="420"/>
      </w:pPr>
      <w:r>
        <w:rPr>
          <w:rFonts w:ascii="宋体" w:hAnsi="宋体" w:eastAsia="宋体"/>
          <w:sz w:val="21"/>
        </w:rPr>
        <w:t>上海首视信息科技有限公司成立于 2012 年，围绕智慧手术部建设、数字化手术室、手术示教、远程会诊、ICU 探视、手术室行为管理和院内视频协作等方向，提供方案设计、产品研发、系统集成、实施交付和持续运维服务。</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4394"/>
        <w:gridCol w:w="4394"/>
      </w:tblGrid>
      <w:tr>
        <w:tc>
          <w:tcPr>
            <w:tcW w:type="dxa" w:w="1984"/>
            <w:shd w:fill="EAF2F8"/>
            <w:vAlign w:val="center"/>
          </w:tcPr>
          <w:p>
            <w:pPr>
              <w:spacing w:after="0"/>
              <w:jc w:val="center"/>
            </w:pPr>
            <w:r>
              <w:rPr>
                <w:rFonts w:ascii="宋体" w:hAnsi="宋体" w:eastAsia="黑体"/>
                <w:b/>
                <w:sz w:val="20"/>
              </w:rPr>
              <w:t>项目</w:t>
            </w:r>
          </w:p>
        </w:tc>
        <w:tc>
          <w:tcPr>
            <w:tcW w:type="dxa" w:w="7029"/>
            <w:shd w:fill="EAF2F8"/>
            <w:vAlign w:val="center"/>
          </w:tcPr>
          <w:p>
            <w:pPr>
              <w:spacing w:after="0"/>
              <w:jc w:val="center"/>
            </w:pPr>
            <w:r>
              <w:rPr>
                <w:rFonts w:ascii="宋体" w:hAnsi="宋体" w:eastAsia="黑体"/>
                <w:b/>
                <w:sz w:val="20"/>
              </w:rPr>
              <w:t>内容</w:t>
            </w:r>
          </w:p>
        </w:tc>
      </w:tr>
      <w:tr>
        <w:tc>
          <w:tcPr>
            <w:tcW w:type="dxa" w:w="1984"/>
            <w:vAlign w:val="center"/>
          </w:tcPr>
          <w:p>
            <w:pPr>
              <w:spacing w:after="0" w:line="300" w:lineRule="auto"/>
              <w:jc w:val="center"/>
            </w:pPr>
            <w:r>
              <w:rPr>
                <w:rFonts w:ascii="宋体" w:hAnsi="宋体" w:eastAsia="宋体"/>
                <w:sz w:val="19"/>
              </w:rPr>
              <w:t>公司名称</w:t>
            </w:r>
          </w:p>
        </w:tc>
        <w:tc>
          <w:tcPr>
            <w:tcW w:type="dxa" w:w="7029"/>
            <w:vAlign w:val="center"/>
          </w:tcPr>
          <w:p>
            <w:pPr>
              <w:spacing w:after="0" w:line="300" w:lineRule="auto"/>
            </w:pPr>
            <w:r>
              <w:rPr>
                <w:rFonts w:ascii="宋体" w:hAnsi="宋体" w:eastAsia="宋体"/>
                <w:sz w:val="19"/>
              </w:rPr>
              <w:t>上海首视信息科技有限公司</w:t>
            </w:r>
          </w:p>
        </w:tc>
      </w:tr>
      <w:tr>
        <w:tc>
          <w:tcPr>
            <w:tcW w:type="dxa" w:w="1984"/>
            <w:vAlign w:val="center"/>
          </w:tcPr>
          <w:p>
            <w:pPr>
              <w:spacing w:after="0" w:line="300" w:lineRule="auto"/>
              <w:jc w:val="center"/>
            </w:pPr>
            <w:r>
              <w:rPr>
                <w:rFonts w:ascii="宋体" w:hAnsi="宋体" w:eastAsia="宋体"/>
                <w:sz w:val="19"/>
              </w:rPr>
              <w:t>品牌标识</w:t>
            </w:r>
          </w:p>
        </w:tc>
        <w:tc>
          <w:tcPr>
            <w:tcW w:type="dxa" w:w="7029"/>
            <w:vAlign w:val="center"/>
          </w:tcPr>
          <w:p>
            <w:pPr>
              <w:spacing w:after="0" w:line="300" w:lineRule="auto"/>
            </w:pPr>
            <w:r>
              <w:rPr>
                <w:rFonts w:ascii="宋体" w:hAnsi="宋体" w:eastAsia="宋体"/>
                <w:sz w:val="19"/>
              </w:rPr>
              <w:t>SH-MEDVISION</w:t>
            </w:r>
          </w:p>
        </w:tc>
      </w:tr>
      <w:tr>
        <w:tc>
          <w:tcPr>
            <w:tcW w:type="dxa" w:w="1984"/>
            <w:vAlign w:val="center"/>
          </w:tcPr>
          <w:p>
            <w:pPr>
              <w:spacing w:after="0" w:line="300" w:lineRule="auto"/>
              <w:jc w:val="center"/>
            </w:pPr>
            <w:r>
              <w:rPr>
                <w:rFonts w:ascii="宋体" w:hAnsi="宋体" w:eastAsia="宋体"/>
                <w:sz w:val="19"/>
              </w:rPr>
              <w:t>官网</w:t>
            </w:r>
          </w:p>
        </w:tc>
        <w:tc>
          <w:tcPr>
            <w:tcW w:type="dxa" w:w="7029"/>
            <w:vAlign w:val="center"/>
          </w:tcPr>
          <w:p>
            <w:pPr>
              <w:spacing w:after="0" w:line="300" w:lineRule="auto"/>
            </w:pPr>
            <w:r>
              <w:rPr>
                <w:rFonts w:ascii="宋体" w:hAnsi="宋体" w:eastAsia="宋体"/>
                <w:sz w:val="19"/>
              </w:rPr>
              <w:t>https://www.sh-medvision.com</w:t>
            </w:r>
          </w:p>
        </w:tc>
      </w:tr>
      <w:tr>
        <w:tc>
          <w:tcPr>
            <w:tcW w:type="dxa" w:w="1984"/>
            <w:vAlign w:val="center"/>
          </w:tcPr>
          <w:p>
            <w:pPr>
              <w:spacing w:after="0" w:line="300" w:lineRule="auto"/>
              <w:jc w:val="center"/>
            </w:pPr>
            <w:r>
              <w:rPr>
                <w:rFonts w:ascii="宋体" w:hAnsi="宋体" w:eastAsia="宋体"/>
                <w:sz w:val="19"/>
              </w:rPr>
              <w:t>联系电话</w:t>
            </w:r>
          </w:p>
        </w:tc>
        <w:tc>
          <w:tcPr>
            <w:tcW w:type="dxa" w:w="7029"/>
            <w:vAlign w:val="center"/>
          </w:tcPr>
          <w:p>
            <w:pPr>
              <w:spacing w:after="0" w:line="300" w:lineRule="auto"/>
            </w:pPr>
            <w:r>
              <w:rPr>
                <w:rFonts w:ascii="宋体" w:hAnsi="宋体" w:eastAsia="宋体"/>
                <w:sz w:val="19"/>
              </w:rPr>
              <w:t>4006137090</w:t>
            </w:r>
          </w:p>
        </w:tc>
      </w:tr>
      <w:tr>
        <w:tc>
          <w:tcPr>
            <w:tcW w:type="dxa" w:w="1984"/>
            <w:vAlign w:val="center"/>
          </w:tcPr>
          <w:p>
            <w:pPr>
              <w:spacing w:after="0" w:line="300" w:lineRule="auto"/>
              <w:jc w:val="center"/>
            </w:pPr>
            <w:r>
              <w:rPr>
                <w:rFonts w:ascii="宋体" w:hAnsi="宋体" w:eastAsia="宋体"/>
                <w:sz w:val="19"/>
              </w:rPr>
              <w:t>地址</w:t>
            </w:r>
          </w:p>
        </w:tc>
        <w:tc>
          <w:tcPr>
            <w:tcW w:type="dxa" w:w="7029"/>
            <w:vAlign w:val="center"/>
          </w:tcPr>
          <w:p>
            <w:pPr>
              <w:spacing w:after="0" w:line="300" w:lineRule="auto"/>
            </w:pPr>
            <w:r>
              <w:rPr>
                <w:rFonts w:ascii="宋体" w:hAnsi="宋体" w:eastAsia="宋体"/>
                <w:sz w:val="19"/>
              </w:rPr>
              <w:t>上海市闵行区光华路689号H座1层</w:t>
            </w:r>
          </w:p>
        </w:tc>
      </w:tr>
      <w:tr>
        <w:tc>
          <w:tcPr>
            <w:tcW w:type="dxa" w:w="1984"/>
            <w:vAlign w:val="center"/>
          </w:tcPr>
          <w:p>
            <w:pPr>
              <w:spacing w:after="0" w:line="300" w:lineRule="auto"/>
              <w:jc w:val="center"/>
            </w:pPr>
            <w:r>
              <w:rPr>
                <w:rFonts w:ascii="宋体" w:hAnsi="宋体" w:eastAsia="宋体"/>
                <w:sz w:val="19"/>
              </w:rPr>
              <w:t>资料用途</w:t>
            </w:r>
          </w:p>
        </w:tc>
        <w:tc>
          <w:tcPr>
            <w:tcW w:type="dxa" w:w="7029"/>
            <w:vAlign w:val="center"/>
          </w:tcPr>
          <w:p>
            <w:pPr>
              <w:spacing w:after="0" w:line="300" w:lineRule="auto"/>
            </w:pPr>
            <w:r>
              <w:rPr>
                <w:rFonts w:ascii="宋体" w:hAnsi="宋体" w:eastAsia="宋体"/>
                <w:sz w:val="19"/>
              </w:rPr>
              <w:t>手术示教系统投标技术方案编制参考。</w:t>
            </w:r>
          </w:p>
        </w:tc>
      </w:tr>
    </w:tbl>
    <w:p>
      <w:pPr>
        <w:spacing w:after="40"/>
      </w:pPr>
    </w:p>
    <w:p>
      <w:pPr>
        <w:pStyle w:val="Heading2"/>
      </w:pPr>
      <w:r>
        <w:t>（二）投标附件占位</w:t>
      </w:r>
    </w:p>
    <w:p>
      <w:pPr>
        <w:spacing w:line="324" w:lineRule="auto" w:after="80"/>
        <w:ind w:left="480" w:hanging="360"/>
      </w:pPr>
      <w:r>
        <w:rPr>
          <w:rFonts w:ascii="宋体" w:hAnsi="宋体" w:eastAsia="宋体"/>
          <w:sz w:val="21"/>
        </w:rPr>
        <w:t>1. 营业执照、资质证书、管理体系认证、软件著作权、产品检测报告等资料按招标文件要求插入。</w:t>
      </w:r>
    </w:p>
    <w:p>
      <w:pPr>
        <w:spacing w:line="324" w:lineRule="auto" w:after="80"/>
        <w:ind w:left="480" w:hanging="360"/>
      </w:pPr>
      <w:r>
        <w:rPr>
          <w:rFonts w:ascii="宋体" w:hAnsi="宋体" w:eastAsia="宋体"/>
          <w:sz w:val="21"/>
        </w:rPr>
        <w:t>2. 项目案例、用户证明、产品彩页、实施人员证书和售后服务承诺函按实际资料补充。</w:t>
      </w:r>
    </w:p>
    <w:p>
      <w:pPr>
        <w:spacing w:line="324" w:lineRule="auto" w:after="80"/>
        <w:ind w:left="480" w:hanging="360"/>
      </w:pPr>
      <w:r>
        <w:rPr>
          <w:rFonts w:ascii="宋体" w:hAnsi="宋体" w:eastAsia="宋体"/>
          <w:sz w:val="21"/>
        </w:rPr>
        <w:t>3. 涉及项目报价、商务条款和合同响应的内容应放入商务标或报价文件，不建议写入公开版技术方案。</w:t>
      </w:r>
    </w:p>
    <w:tbl>
      <w:tblPr>
        <w:tblW w:type="dxa" w:w="9014"/>
        <w:jc w:val="center"/>
        <w:tblLayout w:type="fixed"/>
        <w:tblLook w:firstColumn="1" w:firstRow="1" w:lastColumn="0" w:lastRow="0" w:noHBand="0" w:noVBand="1" w:val="04A0"/>
        <w:tblBorders>
          <w:top w:val="single" w:sz="6" w:space="0" w:color="B8C5D1"/>
          <w:left w:val="single" w:sz="6" w:space="0" w:color="B8C5D1"/>
          <w:bottom w:val="single" w:sz="6" w:space="0" w:color="B8C5D1"/>
          <w:right w:val="single" w:sz="6" w:space="0" w:color="B8C5D1"/>
          <w:insideH w:val="single" w:sz="6" w:space="0" w:color="B8C5D1"/>
          <w:insideV w:val="single" w:sz="6" w:space="0" w:color="B8C5D1"/>
        </w:tblBorders>
      </w:tblPr>
      <w:tblGrid>
        <w:gridCol w:w="8788"/>
      </w:tblGrid>
      <w:tr>
        <w:tc>
          <w:tcPr>
            <w:tcW w:type="dxa" w:w="8788"/>
            <w:shd w:fill="F5F7FA"/>
          </w:tcPr>
          <w:p>
            <w:pPr>
              <w:spacing w:line="324" w:lineRule="auto"/>
            </w:pPr>
            <w:r>
              <w:rPr>
                <w:rFonts w:ascii="宋体" w:hAnsi="宋体" w:eastAsia="黑体"/>
                <w:b/>
                <w:sz w:val="20"/>
              </w:rPr>
              <w:t>最终检查：</w:t>
            </w:r>
            <w:r>
              <w:rPr>
                <w:rFonts w:ascii="宋体" w:hAnsi="宋体" w:eastAsia="宋体"/>
                <w:sz w:val="20"/>
              </w:rPr>
              <w:t>正式投标前，应逐项核对招标文件评分项、废标条款、技术参数、星号条款、格式要求、签章要求、页码目录和附件完整性。</w:t>
            </w:r>
          </w:p>
        </w:tc>
      </w:tr>
    </w:tbl>
    <w:sectPr w:rsidR="00FC693F" w:rsidRPr="0006063C" w:rsidSect="00034616">
      <w:headerReference w:type="default" r:id="rId9"/>
      <w:footerReference w:type="default" r:id="rId10"/>
      <w:pgSz w:w="11906" w:h="16838"/>
      <w:pgMar w:top="1440" w:right="1474" w:bottom="1440" w:left="1644" w:header="850" w:footer="8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宋体" w:hAnsi="宋体" w:eastAsia="宋体"/>
        <w:sz w:val="18"/>
      </w:rPr>
      <w:t xml:space="preserve">第 </w:t>
    </w:r>
    <w:r>
      <w:fldChar w:fldCharType="begin"/>
      <w:instrText xml:space="preserve">PAGE</w:instrText>
      <w:fldChar w:fldCharType="end"/>
    </w:r>
    <w:r>
      <w:rPr>
        <w:rFonts w:ascii="宋体" w:hAnsi="宋体" w:eastAsia="宋体"/>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宋体" w:hAnsi="宋体" w:eastAsia="宋体"/>
        <w:color w:val="666666"/>
        <w:sz w:val="18"/>
      </w:rPr>
      <w:t>上海首视信息科技有限公司 | 投标技术方案编制参考版</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ind w:firstLine="420"/>
    </w:pPr>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336" w:lineRule="auto"/>
      <w:outlineLvl w:val="0"/>
    </w:pPr>
    <w:rPr>
      <w:rFonts w:asciiTheme="majorHAnsi" w:eastAsiaTheme="majorEastAsia" w:hAnsiTheme="majorHAnsi" w:cstheme="majorBidi" w:ascii="SimHei" w:hAnsi="SimHei" w:eastAsia="黑体"/>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160" w:after="120" w:line="336" w:lineRule="auto"/>
      <w:outlineLvl w:val="1"/>
    </w:pPr>
    <w:rPr>
      <w:rFonts w:asciiTheme="majorHAnsi" w:eastAsiaTheme="majorEastAsia" w:hAnsiTheme="majorHAnsi" w:cstheme="majorBidi" w:ascii="SimHei" w:hAnsi="SimHei" w:eastAsia="黑体"/>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160" w:after="120" w:line="336" w:lineRule="auto"/>
      <w:outlineLvl w:val="2"/>
    </w:pPr>
    <w:rPr>
      <w:rFonts w:asciiTheme="majorHAnsi" w:eastAsiaTheme="majorEastAsia" w:hAnsiTheme="majorHAnsi" w:cstheme="majorBidi" w:ascii="SimHei" w:hAnsi="SimHei" w:eastAsia="黑体"/>
      <w:b/>
      <w:bCs/>
      <w:color w:val="00000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